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年度常德市</w:t>
      </w:r>
      <w:r>
        <w:rPr>
          <w:rFonts w:hint="eastAsia" w:ascii="方正小标宋简体" w:hAnsi="方正小标宋简体" w:eastAsia="方正小标宋简体" w:cs="方正小标宋简体"/>
          <w:sz w:val="44"/>
          <w:szCs w:val="44"/>
          <w:lang w:eastAsia="zh-CN"/>
        </w:rPr>
        <w:t>科学技术协会</w:t>
      </w:r>
    </w:p>
    <w:p>
      <w:pPr>
        <w:keepNext w:val="0"/>
        <w:keepLines w:val="0"/>
        <w:pageBreakBefore w:val="0"/>
        <w:kinsoku/>
        <w:overflowPunct/>
        <w:topLinePunct w:val="0"/>
        <w:autoSpaceDE/>
        <w:autoSpaceDN/>
        <w:bidi w:val="0"/>
        <w:snapToGrid w:val="0"/>
        <w:spacing w:line="560" w:lineRule="exact"/>
        <w:jc w:val="center"/>
        <w:rPr>
          <w:rFonts w:eastAsia="方正小标宋_GBK"/>
          <w:sz w:val="44"/>
          <w:szCs w:val="44"/>
        </w:rPr>
      </w:pPr>
      <w:r>
        <w:rPr>
          <w:rFonts w:hint="eastAsia" w:ascii="方正小标宋简体" w:hAnsi="方正小标宋简体" w:eastAsia="方正小标宋简体" w:cs="方正小标宋简体"/>
          <w:sz w:val="44"/>
          <w:szCs w:val="44"/>
        </w:rPr>
        <w:t>部门整体支出绩效评价报告</w:t>
      </w:r>
      <w:r>
        <w:rPr>
          <w:rFonts w:eastAsia="方正小标宋_GBK"/>
          <w:sz w:val="44"/>
          <w:szCs w:val="44"/>
        </w:rPr>
        <w:tab/>
      </w:r>
    </w:p>
    <w:p>
      <w:pPr>
        <w:keepNext w:val="0"/>
        <w:keepLines w:val="0"/>
        <w:pageBreakBefore w:val="0"/>
        <w:kinsoku/>
        <w:overflowPunct/>
        <w:topLinePunct w:val="0"/>
        <w:autoSpaceDE/>
        <w:autoSpaceDN/>
        <w:bidi w:val="0"/>
        <w:snapToGrid w:val="0"/>
        <w:spacing w:line="560" w:lineRule="exact"/>
        <w:ind w:firstLine="643" w:firstLineChars="200"/>
        <w:jc w:val="center"/>
        <w:rPr>
          <w:rFonts w:eastAsia="仿宋"/>
          <w:b/>
          <w:sz w:val="32"/>
          <w:szCs w:val="32"/>
        </w:rPr>
      </w:pPr>
    </w:p>
    <w:p>
      <w:pPr>
        <w:keepNext w:val="0"/>
        <w:keepLines w:val="0"/>
        <w:pageBreakBefore w:val="0"/>
        <w:kinsoku/>
        <w:overflowPunct/>
        <w:topLinePunct w:val="0"/>
        <w:autoSpaceDE/>
        <w:autoSpaceDN/>
        <w:bidi w:val="0"/>
        <w:spacing w:line="560" w:lineRule="exact"/>
        <w:ind w:firstLine="640" w:firstLineChars="200"/>
        <w:rPr>
          <w:rFonts w:eastAsia="黑体"/>
          <w:sz w:val="32"/>
          <w:szCs w:val="32"/>
        </w:rPr>
      </w:pPr>
      <w:r>
        <w:rPr>
          <w:rFonts w:eastAsia="黑体"/>
          <w:sz w:val="32"/>
          <w:szCs w:val="32"/>
        </w:rPr>
        <w:t>一、部门概况</w:t>
      </w:r>
    </w:p>
    <w:p>
      <w:pPr>
        <w:keepNext w:val="0"/>
        <w:keepLines w:val="0"/>
        <w:pageBreakBefore w:val="0"/>
        <w:kinsoku/>
        <w:overflowPunct/>
        <w:topLinePunct w:val="0"/>
        <w:autoSpaceDE/>
        <w:autoSpaceDN/>
        <w:bidi w:val="0"/>
        <w:spacing w:line="560" w:lineRule="exact"/>
        <w:ind w:firstLine="640" w:firstLineChars="200"/>
        <w:rPr>
          <w:rFonts w:eastAsia="楷体"/>
          <w:sz w:val="32"/>
          <w:szCs w:val="32"/>
        </w:rPr>
      </w:pPr>
      <w:r>
        <w:rPr>
          <w:rFonts w:hAnsi="楷体" w:eastAsia="楷体"/>
          <w:sz w:val="32"/>
          <w:szCs w:val="32"/>
        </w:rPr>
        <w:t>（一）机构、人员构成</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科协是市委领导下的人民团体，为全额拨款的行政单位，内设：办公室、普及部和学会部三个职能部室，市直二级机构有市科普办、市科技馆。市直二级机构市科普办是参照公务员管理事业单位，市科技馆是全额拨款事业单位。科协机关行政编制</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名、工勤编制1名（实有行政在编</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人、工勤在编1人、退休13人）；二级机构市科普办</w:t>
      </w:r>
      <w:r>
        <w:rPr>
          <w:rFonts w:hint="eastAsia" w:ascii="仿宋_GB2312" w:hAnsi="仿宋_GB2312" w:eastAsia="仿宋_GB2312" w:cs="仿宋_GB2312"/>
          <w:kern w:val="0"/>
          <w:sz w:val="32"/>
          <w:szCs w:val="32"/>
          <w:lang w:eastAsia="zh-CN"/>
        </w:rPr>
        <w:t>参照公务员管理</w:t>
      </w:r>
      <w:r>
        <w:rPr>
          <w:rFonts w:hint="eastAsia" w:ascii="仿宋_GB2312" w:hAnsi="仿宋_GB2312" w:eastAsia="仿宋_GB2312" w:cs="仿宋_GB2312"/>
          <w:kern w:val="0"/>
          <w:sz w:val="32"/>
          <w:szCs w:val="32"/>
        </w:rPr>
        <w:t>事业编制5名（在职</w:t>
      </w:r>
      <w:r>
        <w:rPr>
          <w:rFonts w:hint="eastAsia" w:ascii="仿宋_GB2312" w:hAnsi="仿宋_GB2312" w:cs="仿宋_GB2312"/>
          <w:kern w:val="0"/>
          <w:sz w:val="32"/>
          <w:szCs w:val="32"/>
          <w:lang w:val="en-US" w:eastAsia="zh-CN"/>
        </w:rPr>
        <w:t>4</w:t>
      </w:r>
      <w:r>
        <w:rPr>
          <w:rFonts w:hint="eastAsia" w:ascii="仿宋_GB2312" w:hAnsi="仿宋_GB2312" w:eastAsia="仿宋_GB2312" w:cs="仿宋_GB2312"/>
          <w:kern w:val="0"/>
          <w:sz w:val="32"/>
          <w:szCs w:val="32"/>
        </w:rPr>
        <w:t>人、退休1人）；二级机构市科技馆事业编制</w:t>
      </w:r>
      <w:r>
        <w:rPr>
          <w:rFonts w:hint="eastAsia" w:ascii="仿宋_GB2312" w:hAnsi="仿宋_GB2312" w:cs="仿宋_GB2312"/>
          <w:kern w:val="0"/>
          <w:sz w:val="32"/>
          <w:szCs w:val="32"/>
          <w:lang w:val="en-US" w:eastAsia="zh-CN"/>
        </w:rPr>
        <w:t>6</w:t>
      </w:r>
      <w:r>
        <w:rPr>
          <w:rFonts w:hint="eastAsia" w:ascii="仿宋_GB2312" w:hAnsi="仿宋_GB2312" w:eastAsia="仿宋_GB2312" w:cs="仿宋_GB2312"/>
          <w:kern w:val="0"/>
          <w:sz w:val="32"/>
          <w:szCs w:val="32"/>
        </w:rPr>
        <w:t>名（在职</w:t>
      </w:r>
      <w:r>
        <w:rPr>
          <w:rFonts w:hint="eastAsia" w:ascii="仿宋_GB2312" w:hAnsi="仿宋_GB2312" w:cs="仿宋_GB2312"/>
          <w:kern w:val="0"/>
          <w:sz w:val="32"/>
          <w:szCs w:val="32"/>
          <w:lang w:val="en-US" w:eastAsia="zh-CN"/>
        </w:rPr>
        <w:t>5</w:t>
      </w:r>
      <w:r>
        <w:rPr>
          <w:rFonts w:hint="eastAsia" w:ascii="仿宋_GB2312" w:hAnsi="仿宋_GB2312" w:eastAsia="仿宋_GB2312" w:cs="仿宋_GB2312"/>
          <w:kern w:val="0"/>
          <w:sz w:val="32"/>
          <w:szCs w:val="32"/>
        </w:rPr>
        <w:t>名）</w:t>
      </w:r>
      <w:r>
        <w:rPr>
          <w:rFonts w:hint="eastAsia" w:ascii="仿宋_GB2312" w:hAnsi="仿宋_GB2312" w:cs="仿宋_GB2312"/>
          <w:kern w:val="0"/>
          <w:sz w:val="32"/>
          <w:szCs w:val="32"/>
          <w:lang w:eastAsia="zh-CN"/>
        </w:rPr>
        <w:t>，独立预算</w:t>
      </w:r>
      <w:r>
        <w:rPr>
          <w:rFonts w:hint="eastAsia" w:ascii="仿宋_GB2312" w:hAnsi="仿宋_GB2312" w:eastAsia="仿宋_GB2312" w:cs="仿宋_GB2312"/>
          <w:kern w:val="0"/>
          <w:sz w:val="32"/>
          <w:szCs w:val="32"/>
        </w:rPr>
        <w:t>；现有小车1台。</w:t>
      </w:r>
    </w:p>
    <w:p>
      <w:pPr>
        <w:keepNext w:val="0"/>
        <w:keepLines w:val="0"/>
        <w:pageBreakBefore w:val="0"/>
        <w:kinsoku/>
        <w:overflowPunct/>
        <w:topLinePunct w:val="0"/>
        <w:autoSpaceDE/>
        <w:autoSpaceDN/>
        <w:bidi w:val="0"/>
        <w:spacing w:line="560" w:lineRule="exact"/>
        <w:ind w:firstLine="640" w:firstLineChars="200"/>
        <w:rPr>
          <w:rFonts w:hint="eastAsia" w:eastAsia="楷体"/>
          <w:color w:val="FF0000"/>
          <w:sz w:val="32"/>
          <w:szCs w:val="32"/>
          <w:lang w:eastAsia="zh-CN"/>
        </w:rPr>
      </w:pPr>
      <w:r>
        <w:rPr>
          <w:rFonts w:hAnsi="楷体" w:eastAsia="楷体"/>
          <w:sz w:val="32"/>
          <w:szCs w:val="32"/>
        </w:rPr>
        <w:t>（二）单位主要职责</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开展学术交流，活跃学术思想，促进学科发展，提高学术水平。</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弘扬科学精神，普及科学知识，传播科学思想和科学方法，捍卫科学尊严，推广先进科学技术，开展青少年技术教育活动，提高全民族科学文化素质。</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反映科学技术工作者的意见和要求，维护科学技术工作者的合法权益，为科学技术工作者服务。组织科学技术工作者参与常德市科学技术政策、法规制定和全市性有关的政治协商、科学决策、民主监督工作。</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负责表彰奖励优秀科学技术工作者的有关工作，向有关部门推荐人才。</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开展科学论证、咨询服务，提出政策建议。</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开展国际民间科学技术交流活动，发展同国外的科学技术团体和科学技术工作者的友好往来。</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协同有关部门开展科学技术工作者的继续教育和培训工作。</w:t>
      </w:r>
    </w:p>
    <w:p>
      <w:pPr>
        <w:keepNext w:val="0"/>
        <w:keepLines w:val="0"/>
        <w:pageBreakBefore w:val="0"/>
        <w:widowControl/>
        <w:kinsoku/>
        <w:overflowPunct/>
        <w:topLinePunct w:val="0"/>
        <w:autoSpaceDE/>
        <w:autoSpaceDN/>
        <w:bidi w:val="0"/>
        <w:spacing w:line="560" w:lineRule="exact"/>
        <w:ind w:firstLine="640" w:firstLineChars="200"/>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承办市委、市政府交办的其他事项。</w:t>
      </w:r>
    </w:p>
    <w:p>
      <w:pPr>
        <w:keepNext w:val="0"/>
        <w:keepLines w:val="0"/>
        <w:pageBreakBefore w:val="0"/>
        <w:kinsoku/>
        <w:overflowPunct/>
        <w:topLinePunct w:val="0"/>
        <w:autoSpaceDE/>
        <w:autoSpaceDN/>
        <w:bidi w:val="0"/>
        <w:spacing w:line="560" w:lineRule="exact"/>
        <w:ind w:firstLine="640" w:firstLineChars="200"/>
        <w:rPr>
          <w:rFonts w:hint="eastAsia" w:eastAsia="黑体"/>
          <w:sz w:val="32"/>
          <w:szCs w:val="32"/>
          <w:lang w:eastAsia="zh-CN"/>
        </w:rPr>
      </w:pPr>
      <w:r>
        <w:rPr>
          <w:rFonts w:eastAsia="黑体"/>
          <w:sz w:val="32"/>
          <w:szCs w:val="32"/>
        </w:rPr>
        <w:t>二、</w:t>
      </w:r>
      <w:r>
        <w:rPr>
          <w:rFonts w:hint="eastAsia" w:eastAsia="黑体"/>
          <w:sz w:val="32"/>
          <w:szCs w:val="32"/>
          <w:lang w:eastAsia="zh-CN"/>
        </w:rPr>
        <w:t>部门财务情况</w:t>
      </w:r>
    </w:p>
    <w:p>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（一）部门整体支出情况</w:t>
      </w:r>
    </w:p>
    <w:p>
      <w:pPr>
        <w:pStyle w:val="2"/>
        <w:keepNext w:val="0"/>
        <w:keepLines w:val="0"/>
        <w:pageBreakBefore w:val="0"/>
        <w:widowControl/>
        <w:kinsoku/>
        <w:wordWrap w:val="0"/>
        <w:overflowPunct/>
        <w:topLinePunct w:val="0"/>
        <w:autoSpaceDE/>
        <w:autoSpaceDN/>
        <w:bidi w:val="0"/>
        <w:spacing w:beforeAutospacing="0" w:afterAutospacing="0" w:line="560" w:lineRule="exact"/>
        <w:jc w:val="right"/>
        <w:rPr>
          <w:rFonts w:eastAsia="仿宋"/>
          <w:sz w:val="32"/>
          <w:szCs w:val="32"/>
        </w:rPr>
      </w:pPr>
      <w:r>
        <w:rPr>
          <w:rFonts w:eastAsia="仿宋"/>
        </w:rPr>
        <w:t xml:space="preserve">金额单位：万元   </w:t>
      </w:r>
    </w:p>
    <w:tbl>
      <w:tblPr>
        <w:tblStyle w:val="3"/>
        <w:tblW w:w="0" w:type="auto"/>
        <w:tblInd w:w="0" w:type="dxa"/>
        <w:tblLayout w:type="fixed"/>
        <w:tblCellMar>
          <w:top w:w="15" w:type="dxa"/>
          <w:left w:w="15" w:type="dxa"/>
          <w:bottom w:w="15" w:type="dxa"/>
          <w:right w:w="15" w:type="dxa"/>
        </w:tblCellMar>
      </w:tblPr>
      <w:tblGrid>
        <w:gridCol w:w="299"/>
        <w:gridCol w:w="596"/>
        <w:gridCol w:w="2381"/>
        <w:gridCol w:w="1275"/>
        <w:gridCol w:w="1276"/>
        <w:gridCol w:w="3119"/>
      </w:tblGrid>
      <w:tr>
        <w:tblPrEx>
          <w:tblCellMar>
            <w:top w:w="15" w:type="dxa"/>
            <w:left w:w="15" w:type="dxa"/>
            <w:bottom w:w="15" w:type="dxa"/>
            <w:right w:w="15" w:type="dxa"/>
          </w:tblCellMar>
        </w:tblPrEx>
        <w:trPr>
          <w:trHeight w:val="629" w:hRule="exact"/>
        </w:trPr>
        <w:tc>
          <w:tcPr>
            <w:tcW w:w="32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项      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hint="eastAsia" w:eastAsia="仿宋"/>
                <w:kern w:val="0"/>
                <w:sz w:val="24"/>
              </w:rPr>
              <w:t>年初预算</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hint="eastAsia" w:eastAsia="仿宋"/>
                <w:kern w:val="0"/>
                <w:sz w:val="24"/>
              </w:rPr>
              <w:t xml:space="preserve"> 整体</w:t>
            </w:r>
            <w:r>
              <w:rPr>
                <w:rFonts w:eastAsia="仿宋"/>
                <w:kern w:val="0"/>
                <w:sz w:val="24"/>
              </w:rPr>
              <w:t>支出</w:t>
            </w:r>
          </w:p>
        </w:tc>
        <w:tc>
          <w:tcPr>
            <w:tcW w:w="31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差异变动原因</w:t>
            </w:r>
          </w:p>
        </w:tc>
      </w:tr>
      <w:tr>
        <w:tblPrEx>
          <w:tblCellMar>
            <w:top w:w="15" w:type="dxa"/>
            <w:left w:w="15" w:type="dxa"/>
            <w:bottom w:w="15" w:type="dxa"/>
            <w:right w:w="15" w:type="dxa"/>
          </w:tblCellMar>
        </w:tblPrEx>
        <w:trPr>
          <w:trHeight w:val="606" w:hRule="exact"/>
        </w:trPr>
        <w:tc>
          <w:tcPr>
            <w:tcW w:w="2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20</w:t>
            </w:r>
            <w:r>
              <w:rPr>
                <w:rFonts w:hint="eastAsia" w:eastAsia="仿宋"/>
                <w:kern w:val="0"/>
                <w:sz w:val="24"/>
                <w:lang w:val="en-US" w:eastAsia="zh-CN"/>
              </w:rPr>
              <w:t>20</w:t>
            </w:r>
            <w:r>
              <w:rPr>
                <w:rFonts w:eastAsia="仿宋"/>
                <w:kern w:val="0"/>
                <w:sz w:val="24"/>
              </w:rPr>
              <w:t>年支出</w:t>
            </w:r>
          </w:p>
        </w:tc>
        <w:tc>
          <w:tcPr>
            <w:tcW w:w="59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基本支出</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工资福利支出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181.91</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224.06</w:t>
            </w:r>
          </w:p>
        </w:tc>
        <w:tc>
          <w:tcPr>
            <w:tcW w:w="311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基本支出差异表动原因：新增军转干部一名、全市文明考核奖、综治考核奖和绩效等奖励标准上浮。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商品和服务支出年初预算数和支出数有差异的主要原因：上年结转公务经费0.38万元。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项目支出差异的主要原因：上年结转项目经费全部支出。</w:t>
            </w: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p>
            <w:pPr>
              <w:keepNext w:val="0"/>
              <w:keepLines w:val="0"/>
              <w:pageBreakBefore w:val="0"/>
              <w:kinsoku/>
              <w:overflowPunct/>
              <w:topLinePunct w:val="0"/>
              <w:autoSpaceDE/>
              <w:autoSpaceDN/>
              <w:bidi w:val="0"/>
              <w:spacing w:line="560" w:lineRule="exact"/>
              <w:rPr>
                <w:rFonts w:hint="eastAsia" w:ascii="仿宋_GB2312" w:hAnsi="仿宋_GB2312" w:cs="仿宋_GB2312"/>
                <w:kern w:val="0"/>
                <w:sz w:val="24"/>
                <w:szCs w:val="24"/>
                <w:lang w:val="en-US" w:eastAsia="zh-CN" w:bidi="ar-SA"/>
              </w:rPr>
            </w:pPr>
          </w:p>
        </w:tc>
      </w:tr>
      <w:tr>
        <w:tblPrEx>
          <w:tblCellMar>
            <w:top w:w="15" w:type="dxa"/>
            <w:left w:w="15" w:type="dxa"/>
            <w:bottom w:w="15" w:type="dxa"/>
            <w:right w:w="15" w:type="dxa"/>
          </w:tblCellMar>
        </w:tblPrEx>
        <w:trPr>
          <w:trHeight w:val="562" w:hRule="exact"/>
        </w:trPr>
        <w:tc>
          <w:tcPr>
            <w:tcW w:w="299" w:type="dxa"/>
            <w:vMerge w:val="continue"/>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596" w:type="dxa"/>
            <w:vMerge w:val="continue"/>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商品和服务支出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44.41</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44.79</w:t>
            </w:r>
          </w:p>
        </w:tc>
        <w:tc>
          <w:tcPr>
            <w:tcW w:w="3119" w:type="dxa"/>
            <w:vMerge w:val="continue"/>
            <w:tcBorders>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hint="default" w:eastAsia="仿宋"/>
                <w:kern w:val="0"/>
                <w:sz w:val="24"/>
                <w:lang w:val="en-US"/>
              </w:rPr>
            </w:pPr>
          </w:p>
        </w:tc>
      </w:tr>
      <w:tr>
        <w:tblPrEx>
          <w:tblCellMar>
            <w:top w:w="15" w:type="dxa"/>
            <w:left w:w="15" w:type="dxa"/>
            <w:bottom w:w="15" w:type="dxa"/>
            <w:right w:w="15" w:type="dxa"/>
          </w:tblCellMar>
        </w:tblPrEx>
        <w:trPr>
          <w:trHeight w:val="608" w:hRule="exact"/>
        </w:trPr>
        <w:tc>
          <w:tcPr>
            <w:tcW w:w="299" w:type="dxa"/>
            <w:vMerge w:val="continue"/>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596" w:type="dxa"/>
            <w:vMerge w:val="continue"/>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对个人和家庭补助支出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57.03</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96.57</w:t>
            </w:r>
          </w:p>
        </w:tc>
        <w:tc>
          <w:tcPr>
            <w:tcW w:w="3119" w:type="dxa"/>
            <w:vMerge w:val="continue"/>
            <w:tcBorders>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eastAsia="仿宋"/>
                <w:kern w:val="0"/>
                <w:sz w:val="24"/>
              </w:rPr>
            </w:pPr>
          </w:p>
        </w:tc>
      </w:tr>
      <w:tr>
        <w:tblPrEx>
          <w:tblCellMar>
            <w:top w:w="15" w:type="dxa"/>
            <w:left w:w="15" w:type="dxa"/>
            <w:bottom w:w="15" w:type="dxa"/>
            <w:right w:w="15" w:type="dxa"/>
          </w:tblCellMar>
        </w:tblPrEx>
        <w:trPr>
          <w:trHeight w:val="703" w:hRule="exact"/>
        </w:trPr>
        <w:tc>
          <w:tcPr>
            <w:tcW w:w="299" w:type="dxa"/>
            <w:vMerge w:val="continue"/>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59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小    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283.35</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365.42</w:t>
            </w:r>
          </w:p>
        </w:tc>
        <w:tc>
          <w:tcPr>
            <w:tcW w:w="3119" w:type="dxa"/>
            <w:vMerge w:val="continue"/>
            <w:tcBorders>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eastAsia="仿宋"/>
                <w:kern w:val="0"/>
                <w:sz w:val="24"/>
              </w:rPr>
            </w:pPr>
          </w:p>
        </w:tc>
      </w:tr>
      <w:tr>
        <w:tblPrEx>
          <w:tblCellMar>
            <w:top w:w="15" w:type="dxa"/>
            <w:left w:w="15" w:type="dxa"/>
            <w:bottom w:w="15" w:type="dxa"/>
            <w:right w:w="15" w:type="dxa"/>
          </w:tblCellMar>
        </w:tblPrEx>
        <w:trPr>
          <w:trHeight w:val="682" w:hRule="exact"/>
        </w:trPr>
        <w:tc>
          <w:tcPr>
            <w:tcW w:w="299" w:type="dxa"/>
            <w:vMerge w:val="continue"/>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项目支出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280</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346.97</w:t>
            </w:r>
          </w:p>
        </w:tc>
        <w:tc>
          <w:tcPr>
            <w:tcW w:w="3119" w:type="dxa"/>
            <w:vMerge w:val="continue"/>
            <w:tcBorders>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eastAsia="仿宋"/>
                <w:kern w:val="0"/>
                <w:sz w:val="24"/>
              </w:rPr>
            </w:pPr>
          </w:p>
        </w:tc>
      </w:tr>
      <w:tr>
        <w:tblPrEx>
          <w:tblCellMar>
            <w:top w:w="15" w:type="dxa"/>
            <w:left w:w="15" w:type="dxa"/>
            <w:bottom w:w="15" w:type="dxa"/>
            <w:right w:w="15" w:type="dxa"/>
          </w:tblCellMar>
        </w:tblPrEx>
        <w:trPr>
          <w:trHeight w:val="683" w:hRule="exact"/>
        </w:trPr>
        <w:tc>
          <w:tcPr>
            <w:tcW w:w="29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p>
        </w:tc>
        <w:tc>
          <w:tcPr>
            <w:tcW w:w="2977"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
                <w:kern w:val="0"/>
                <w:sz w:val="24"/>
              </w:rPr>
            </w:pPr>
            <w:r>
              <w:rPr>
                <w:rFonts w:eastAsia="仿宋"/>
                <w:kern w:val="0"/>
                <w:sz w:val="24"/>
              </w:rPr>
              <w:t>合    计</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568.24</w:t>
            </w:r>
          </w:p>
        </w:tc>
        <w:tc>
          <w:tcPr>
            <w:tcW w:w="1276"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eastAsia="仿宋"/>
                <w:kern w:val="0"/>
                <w:sz w:val="24"/>
                <w:lang w:val="en-US" w:eastAsia="zh-CN"/>
              </w:rPr>
            </w:pPr>
            <w:r>
              <w:rPr>
                <w:rFonts w:hint="eastAsia" w:eastAsia="仿宋"/>
                <w:kern w:val="0"/>
                <w:sz w:val="24"/>
                <w:lang w:val="en-US" w:eastAsia="zh-CN"/>
              </w:rPr>
              <w:t>712.39</w:t>
            </w:r>
          </w:p>
        </w:tc>
        <w:tc>
          <w:tcPr>
            <w:tcW w:w="3119"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eastAsia="仿宋"/>
                <w:kern w:val="0"/>
                <w:sz w:val="24"/>
              </w:rPr>
            </w:pPr>
          </w:p>
        </w:tc>
      </w:tr>
    </w:tbl>
    <w:p>
      <w:pPr>
        <w:pStyle w:val="2"/>
        <w:keepNext w:val="0"/>
        <w:keepLines w:val="0"/>
        <w:pageBreakBefore w:val="0"/>
        <w:widowControl/>
        <w:tabs>
          <w:tab w:val="left" w:pos="5565"/>
        </w:tabs>
        <w:kinsoku/>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从上表可以看出：</w:t>
      </w:r>
    </w:p>
    <w:p>
      <w:pPr>
        <w:pStyle w:val="2"/>
        <w:keepNext w:val="0"/>
        <w:keepLines w:val="0"/>
        <w:pageBreakBefore w:val="0"/>
        <w:widowControl/>
        <w:tabs>
          <w:tab w:val="left" w:pos="5565"/>
        </w:tabs>
        <w:kinsoku/>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2020年，市科协基本支出追加的资金，主要追加于人员经费；专项支出没有追加资金。</w:t>
      </w:r>
    </w:p>
    <w:p>
      <w:pPr>
        <w:pStyle w:val="2"/>
        <w:keepNext w:val="0"/>
        <w:keepLines w:val="0"/>
        <w:pageBreakBefore w:val="0"/>
        <w:widowControl/>
        <w:tabs>
          <w:tab w:val="left" w:pos="5565"/>
        </w:tabs>
        <w:kinsoku/>
        <w:overflowPunct/>
        <w:topLinePunct w:val="0"/>
        <w:autoSpaceDE/>
        <w:autoSpaceDN/>
        <w:bidi w:val="0"/>
        <w:spacing w:beforeAutospacing="0" w:afterAutospacing="0" w:line="560" w:lineRule="exact"/>
        <w:ind w:firstLine="320" w:firstLineChars="100"/>
        <w:rPr>
          <w:rFonts w:eastAsia="楷体"/>
          <w:kern w:val="2"/>
          <w:sz w:val="32"/>
          <w:szCs w:val="32"/>
        </w:rPr>
      </w:pPr>
      <w:r>
        <w:rPr>
          <w:rFonts w:eastAsia="楷体"/>
          <w:kern w:val="2"/>
          <w:sz w:val="32"/>
          <w:szCs w:val="32"/>
        </w:rPr>
        <w:t>（二）部门预算收支</w:t>
      </w:r>
      <w:r>
        <w:rPr>
          <w:rFonts w:hint="eastAsia" w:eastAsia="楷体"/>
          <w:kern w:val="2"/>
          <w:sz w:val="32"/>
          <w:szCs w:val="32"/>
        </w:rPr>
        <w:t>及</w:t>
      </w:r>
      <w:r>
        <w:rPr>
          <w:rFonts w:eastAsia="楷体"/>
          <w:kern w:val="2"/>
          <w:sz w:val="32"/>
          <w:szCs w:val="32"/>
        </w:rPr>
        <w:t>决算情况</w:t>
      </w:r>
      <w:r>
        <w:rPr>
          <w:rFonts w:eastAsia="楷体"/>
          <w:kern w:val="2"/>
          <w:sz w:val="32"/>
          <w:szCs w:val="32"/>
        </w:rPr>
        <w:tab/>
      </w:r>
    </w:p>
    <w:p>
      <w:pPr>
        <w:pStyle w:val="2"/>
        <w:keepNext w:val="0"/>
        <w:keepLines w:val="0"/>
        <w:pageBreakBefore w:val="0"/>
        <w:widowControl/>
        <w:kinsoku/>
        <w:wordWrap w:val="0"/>
        <w:overflowPunct/>
        <w:topLinePunct w:val="0"/>
        <w:autoSpaceDE/>
        <w:autoSpaceDN/>
        <w:bidi w:val="0"/>
        <w:spacing w:beforeAutospacing="0" w:afterAutospacing="0" w:line="560" w:lineRule="exact"/>
        <w:jc w:val="right"/>
        <w:rPr>
          <w:rFonts w:eastAsia="仿宋"/>
          <w:sz w:val="32"/>
          <w:szCs w:val="32"/>
        </w:rPr>
      </w:pPr>
      <w:r>
        <w:rPr>
          <w:rFonts w:eastAsia="仿宋"/>
        </w:rPr>
        <w:t xml:space="preserve">金额单位：万元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709"/>
        <w:gridCol w:w="709"/>
        <w:gridCol w:w="709"/>
        <w:gridCol w:w="708"/>
        <w:gridCol w:w="851"/>
        <w:gridCol w:w="709"/>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134" w:type="dxa"/>
            <w:vMerge w:val="restart"/>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r>
              <w:rPr>
                <w:rFonts w:eastAsia="仿宋"/>
                <w:sz w:val="21"/>
                <w:szCs w:val="21"/>
              </w:rPr>
              <w:t>项目</w:t>
            </w:r>
          </w:p>
        </w:tc>
        <w:tc>
          <w:tcPr>
            <w:tcW w:w="709" w:type="dxa"/>
            <w:vMerge w:val="restart"/>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r>
              <w:rPr>
                <w:rFonts w:eastAsia="仿宋"/>
                <w:sz w:val="21"/>
                <w:szCs w:val="21"/>
              </w:rPr>
              <w:t>201</w:t>
            </w:r>
            <w:r>
              <w:rPr>
                <w:rFonts w:hint="eastAsia" w:eastAsia="仿宋"/>
                <w:sz w:val="21"/>
                <w:szCs w:val="21"/>
                <w:lang w:val="en-US" w:eastAsia="zh-CN"/>
              </w:rPr>
              <w:t>9</w:t>
            </w:r>
            <w:r>
              <w:rPr>
                <w:rFonts w:eastAsia="仿宋"/>
                <w:sz w:val="21"/>
                <w:szCs w:val="21"/>
              </w:rPr>
              <w:t>年决算</w:t>
            </w:r>
            <w:r>
              <w:rPr>
                <w:rFonts w:hint="eastAsia" w:eastAsia="仿宋"/>
                <w:sz w:val="21"/>
                <w:szCs w:val="21"/>
              </w:rPr>
              <w:t xml:space="preserve"> </w:t>
            </w:r>
            <w:r>
              <w:rPr>
                <w:rFonts w:eastAsia="仿宋"/>
                <w:sz w:val="21"/>
                <w:szCs w:val="21"/>
              </w:rPr>
              <w:t>金额</w:t>
            </w:r>
          </w:p>
        </w:tc>
        <w:tc>
          <w:tcPr>
            <w:tcW w:w="2977" w:type="dxa"/>
            <w:gridSpan w:val="4"/>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r>
              <w:rPr>
                <w:rFonts w:eastAsia="仿宋"/>
                <w:sz w:val="21"/>
                <w:szCs w:val="21"/>
              </w:rPr>
              <w:t>20</w:t>
            </w:r>
            <w:r>
              <w:rPr>
                <w:rFonts w:hint="eastAsia" w:eastAsia="仿宋"/>
                <w:sz w:val="21"/>
                <w:szCs w:val="21"/>
                <w:lang w:val="en-US" w:eastAsia="zh-CN"/>
              </w:rPr>
              <w:t>20</w:t>
            </w:r>
            <w:r>
              <w:rPr>
                <w:rFonts w:eastAsia="仿宋"/>
                <w:sz w:val="21"/>
                <w:szCs w:val="21"/>
              </w:rPr>
              <w:t>年预算</w:t>
            </w:r>
            <w:r>
              <w:rPr>
                <w:rFonts w:hint="eastAsia" w:eastAsia="仿宋"/>
                <w:sz w:val="21"/>
                <w:szCs w:val="21"/>
              </w:rPr>
              <w:t>可用指标</w:t>
            </w:r>
          </w:p>
        </w:tc>
        <w:tc>
          <w:tcPr>
            <w:tcW w:w="709" w:type="dxa"/>
            <w:vMerge w:val="restart"/>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20</w:t>
            </w:r>
            <w:r>
              <w:rPr>
                <w:rFonts w:hint="eastAsia" w:eastAsia="仿宋"/>
                <w:kern w:val="0"/>
                <w:sz w:val="21"/>
                <w:szCs w:val="21"/>
                <w:lang w:val="en-US" w:eastAsia="zh-CN"/>
              </w:rPr>
              <w:t>20</w:t>
            </w:r>
            <w:r>
              <w:rPr>
                <w:rFonts w:eastAsia="仿宋"/>
                <w:kern w:val="0"/>
                <w:sz w:val="21"/>
                <w:szCs w:val="21"/>
              </w:rPr>
              <w:t>年决算</w:t>
            </w:r>
            <w:r>
              <w:rPr>
                <w:rFonts w:hint="eastAsia" w:eastAsia="仿宋"/>
                <w:kern w:val="0"/>
                <w:sz w:val="21"/>
                <w:szCs w:val="21"/>
              </w:rPr>
              <w:t xml:space="preserve"> </w:t>
            </w:r>
            <w:r>
              <w:rPr>
                <w:rFonts w:eastAsia="仿宋"/>
                <w:kern w:val="0"/>
                <w:sz w:val="21"/>
                <w:szCs w:val="21"/>
              </w:rPr>
              <w:t>金额</w:t>
            </w:r>
          </w:p>
        </w:tc>
        <w:tc>
          <w:tcPr>
            <w:tcW w:w="1559" w:type="dxa"/>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r>
              <w:rPr>
                <w:rFonts w:eastAsia="仿宋"/>
                <w:sz w:val="21"/>
                <w:szCs w:val="21"/>
              </w:rPr>
              <w:t>20</w:t>
            </w:r>
            <w:r>
              <w:rPr>
                <w:rFonts w:hint="eastAsia" w:eastAsia="仿宋"/>
                <w:sz w:val="21"/>
                <w:szCs w:val="21"/>
                <w:lang w:val="en-US" w:eastAsia="zh-CN"/>
              </w:rPr>
              <w:t>20</w:t>
            </w:r>
            <w:r>
              <w:rPr>
                <w:rFonts w:eastAsia="仿宋"/>
                <w:sz w:val="21"/>
                <w:szCs w:val="21"/>
              </w:rPr>
              <w:t>年预算执行差异（预算-决算）</w:t>
            </w:r>
          </w:p>
        </w:tc>
        <w:tc>
          <w:tcPr>
            <w:tcW w:w="1701" w:type="dxa"/>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20</w:t>
            </w:r>
            <w:r>
              <w:rPr>
                <w:rFonts w:hint="eastAsia" w:eastAsia="仿宋"/>
                <w:kern w:val="0"/>
                <w:sz w:val="21"/>
                <w:szCs w:val="21"/>
                <w:lang w:val="en-US" w:eastAsia="zh-CN"/>
              </w:rPr>
              <w:t>20</w:t>
            </w:r>
            <w:r>
              <w:rPr>
                <w:rFonts w:eastAsia="仿宋"/>
                <w:kern w:val="0"/>
                <w:sz w:val="21"/>
                <w:szCs w:val="21"/>
              </w:rPr>
              <w:t>年决算较20</w:t>
            </w:r>
            <w:r>
              <w:rPr>
                <w:rFonts w:hint="eastAsia" w:eastAsia="仿宋"/>
                <w:kern w:val="0"/>
                <w:sz w:val="21"/>
                <w:szCs w:val="21"/>
                <w:lang w:val="en-US" w:eastAsia="zh-CN"/>
              </w:rPr>
              <w:t>19</w:t>
            </w:r>
            <w:r>
              <w:rPr>
                <w:rFonts w:eastAsia="仿宋"/>
                <w:kern w:val="0"/>
                <w:sz w:val="21"/>
                <w:szCs w:val="21"/>
              </w:rPr>
              <w:t>年决算差异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4" w:type="dxa"/>
            <w:vMerge w:val="continue"/>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p>
        </w:tc>
        <w:tc>
          <w:tcPr>
            <w:tcW w:w="709" w:type="dxa"/>
            <w:vMerge w:val="continue"/>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p>
        </w:tc>
        <w:tc>
          <w:tcPr>
            <w:tcW w:w="709" w:type="dxa"/>
            <w:tcBorders>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年初</w:t>
            </w:r>
            <w:r>
              <w:rPr>
                <w:rFonts w:hint="eastAsia" w:eastAsia="仿宋"/>
                <w:kern w:val="0"/>
                <w:sz w:val="21"/>
                <w:szCs w:val="21"/>
              </w:rPr>
              <w:t xml:space="preserve"> </w:t>
            </w:r>
            <w:r>
              <w:rPr>
                <w:rFonts w:eastAsia="仿宋"/>
                <w:kern w:val="0"/>
                <w:sz w:val="21"/>
                <w:szCs w:val="21"/>
              </w:rPr>
              <w:t>预算</w:t>
            </w:r>
          </w:p>
        </w:tc>
        <w:tc>
          <w:tcPr>
            <w:tcW w:w="709"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上年</w:t>
            </w:r>
            <w:r>
              <w:rPr>
                <w:rFonts w:hint="eastAsia" w:eastAsia="仿宋"/>
                <w:kern w:val="0"/>
                <w:sz w:val="21"/>
                <w:szCs w:val="21"/>
              </w:rPr>
              <w:t xml:space="preserve"> </w:t>
            </w:r>
            <w:r>
              <w:rPr>
                <w:rFonts w:eastAsia="仿宋"/>
                <w:kern w:val="0"/>
                <w:sz w:val="21"/>
                <w:szCs w:val="21"/>
              </w:rPr>
              <w:t>结转</w:t>
            </w:r>
          </w:p>
        </w:tc>
        <w:tc>
          <w:tcPr>
            <w:tcW w:w="708"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hint="eastAsia" w:eastAsia="仿宋"/>
                <w:kern w:val="0"/>
                <w:sz w:val="21"/>
                <w:szCs w:val="21"/>
              </w:rPr>
              <w:t>调整 指标</w:t>
            </w:r>
          </w:p>
        </w:tc>
        <w:tc>
          <w:tcPr>
            <w:tcW w:w="851" w:type="dxa"/>
            <w:tcBorders>
              <w:lef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小计</w:t>
            </w:r>
          </w:p>
        </w:tc>
        <w:tc>
          <w:tcPr>
            <w:tcW w:w="709" w:type="dxa"/>
            <w:vMerge w:val="continue"/>
            <w:noWrap w:val="0"/>
            <w:vAlign w:val="center"/>
          </w:tcPr>
          <w:p>
            <w:pPr>
              <w:keepNext w:val="0"/>
              <w:keepLines w:val="0"/>
              <w:pageBreakBefore w:val="0"/>
              <w:widowControl/>
              <w:kinsoku/>
              <w:overflowPunct/>
              <w:topLinePunct w:val="0"/>
              <w:autoSpaceDE/>
              <w:autoSpaceDN/>
              <w:bidi w:val="0"/>
              <w:spacing w:line="560" w:lineRule="exact"/>
              <w:jc w:val="center"/>
              <w:rPr>
                <w:rFonts w:eastAsia="仿宋"/>
                <w:kern w:val="0"/>
                <w:sz w:val="21"/>
                <w:szCs w:val="21"/>
              </w:rPr>
            </w:pPr>
          </w:p>
        </w:tc>
        <w:tc>
          <w:tcPr>
            <w:tcW w:w="1559" w:type="dxa"/>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r>
              <w:rPr>
                <w:rFonts w:eastAsia="仿宋"/>
                <w:sz w:val="21"/>
                <w:szCs w:val="21"/>
              </w:rPr>
              <w:t>差异额</w:t>
            </w:r>
          </w:p>
        </w:tc>
        <w:tc>
          <w:tcPr>
            <w:tcW w:w="1701" w:type="dxa"/>
            <w:noWrap w:val="0"/>
            <w:vAlign w:val="center"/>
          </w:tcPr>
          <w:p>
            <w:pPr>
              <w:pStyle w:val="2"/>
              <w:keepNext w:val="0"/>
              <w:keepLines w:val="0"/>
              <w:pageBreakBefore w:val="0"/>
              <w:widowControl/>
              <w:kinsoku/>
              <w:overflowPunct/>
              <w:topLinePunct w:val="0"/>
              <w:autoSpaceDE/>
              <w:autoSpaceDN/>
              <w:bidi w:val="0"/>
              <w:spacing w:beforeAutospacing="0" w:afterAutospacing="0" w:line="560" w:lineRule="exact"/>
              <w:jc w:val="center"/>
              <w:rPr>
                <w:rFonts w:eastAsia="仿宋"/>
                <w:sz w:val="21"/>
                <w:szCs w:val="21"/>
              </w:rPr>
            </w:pPr>
            <w:r>
              <w:rPr>
                <w:rFonts w:eastAsia="仿宋"/>
                <w:sz w:val="21"/>
                <w:szCs w:val="21"/>
              </w:rPr>
              <w:t>差异额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134" w:type="dxa"/>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基本</w:t>
            </w:r>
            <w:r>
              <w:rPr>
                <w:rFonts w:hint="eastAsia" w:eastAsia="仿宋"/>
                <w:kern w:val="0"/>
                <w:sz w:val="21"/>
                <w:szCs w:val="21"/>
              </w:rPr>
              <w:t>支出</w:t>
            </w:r>
          </w:p>
        </w:tc>
        <w:tc>
          <w:tcPr>
            <w:tcW w:w="709" w:type="dxa"/>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default" w:eastAsia="仿宋"/>
                <w:sz w:val="21"/>
                <w:szCs w:val="21"/>
                <w:lang w:val="en-US" w:eastAsia="zh-CN"/>
              </w:rPr>
              <w:t>356.25</w:t>
            </w:r>
          </w:p>
        </w:tc>
        <w:tc>
          <w:tcPr>
            <w:tcW w:w="709" w:type="dxa"/>
            <w:tcBorders>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283.35</w:t>
            </w:r>
          </w:p>
        </w:tc>
        <w:tc>
          <w:tcPr>
            <w:tcW w:w="709"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6.34</w:t>
            </w:r>
          </w:p>
        </w:tc>
        <w:tc>
          <w:tcPr>
            <w:tcW w:w="708"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-0.0083</w:t>
            </w:r>
          </w:p>
        </w:tc>
        <w:tc>
          <w:tcPr>
            <w:tcW w:w="851" w:type="dxa"/>
            <w:tcBorders>
              <w:lef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299.68</w:t>
            </w:r>
          </w:p>
        </w:tc>
        <w:tc>
          <w:tcPr>
            <w:tcW w:w="709" w:type="dxa"/>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365.42</w:t>
            </w:r>
          </w:p>
        </w:tc>
        <w:tc>
          <w:tcPr>
            <w:tcW w:w="1559" w:type="dxa"/>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65.74</w:t>
            </w:r>
          </w:p>
        </w:tc>
        <w:tc>
          <w:tcPr>
            <w:tcW w:w="1701" w:type="dxa"/>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4" w:type="dxa"/>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项目支出</w:t>
            </w:r>
          </w:p>
        </w:tc>
        <w:tc>
          <w:tcPr>
            <w:tcW w:w="709" w:type="dxa"/>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eastAsia="仿宋"/>
                <w:sz w:val="21"/>
                <w:szCs w:val="21"/>
              </w:rPr>
            </w:pPr>
            <w:r>
              <w:rPr>
                <w:rFonts w:hint="eastAsia" w:eastAsia="仿宋"/>
                <w:sz w:val="21"/>
                <w:szCs w:val="21"/>
                <w:lang w:val="en-US" w:eastAsia="zh-CN"/>
              </w:rPr>
              <w:t>247.34</w:t>
            </w:r>
          </w:p>
        </w:tc>
        <w:tc>
          <w:tcPr>
            <w:tcW w:w="709" w:type="dxa"/>
            <w:tcBorders>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280</w:t>
            </w:r>
          </w:p>
        </w:tc>
        <w:tc>
          <w:tcPr>
            <w:tcW w:w="709" w:type="dxa"/>
            <w:tcBorders>
              <w:left w:val="single" w:color="000000" w:sz="4" w:space="0"/>
              <w:right w:val="single" w:color="000000" w:sz="4" w:space="0"/>
            </w:tcBorders>
            <w:noWrap w:val="0"/>
            <w:vAlign w:val="center"/>
          </w:tcPr>
          <w:p>
            <w:pPr>
              <w:keepNext w:val="0"/>
              <w:keepLines w:val="0"/>
              <w:pageBreakBefore w:val="0"/>
              <w:widowControl/>
              <w:tabs>
                <w:tab w:val="left" w:pos="459"/>
              </w:tabs>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144.63</w:t>
            </w:r>
          </w:p>
        </w:tc>
        <w:tc>
          <w:tcPr>
            <w:tcW w:w="708"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-5.89</w:t>
            </w:r>
          </w:p>
        </w:tc>
        <w:tc>
          <w:tcPr>
            <w:tcW w:w="851" w:type="dxa"/>
            <w:tcBorders>
              <w:lef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418.74</w:t>
            </w:r>
          </w:p>
        </w:tc>
        <w:tc>
          <w:tcPr>
            <w:tcW w:w="709" w:type="dxa"/>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346.97</w:t>
            </w:r>
          </w:p>
        </w:tc>
        <w:tc>
          <w:tcPr>
            <w:tcW w:w="1559" w:type="dxa"/>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-71.77</w:t>
            </w:r>
          </w:p>
        </w:tc>
        <w:tc>
          <w:tcPr>
            <w:tcW w:w="1701" w:type="dxa"/>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1134" w:type="dxa"/>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1"/>
                <w:szCs w:val="21"/>
              </w:rPr>
            </w:pPr>
            <w:r>
              <w:rPr>
                <w:rFonts w:eastAsia="仿宋"/>
                <w:kern w:val="0"/>
                <w:sz w:val="21"/>
                <w:szCs w:val="21"/>
              </w:rPr>
              <w:t>合计</w:t>
            </w:r>
          </w:p>
        </w:tc>
        <w:tc>
          <w:tcPr>
            <w:tcW w:w="709" w:type="dxa"/>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宋体"/>
                <w:sz w:val="21"/>
                <w:szCs w:val="21"/>
                <w:lang w:val="en-US" w:eastAsia="zh-CN"/>
              </w:rPr>
              <w:t>603.59</w:t>
            </w:r>
          </w:p>
        </w:tc>
        <w:tc>
          <w:tcPr>
            <w:tcW w:w="709" w:type="dxa"/>
            <w:tcBorders>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563.35</w:t>
            </w:r>
          </w:p>
        </w:tc>
        <w:tc>
          <w:tcPr>
            <w:tcW w:w="709"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150.97</w:t>
            </w:r>
          </w:p>
        </w:tc>
        <w:tc>
          <w:tcPr>
            <w:tcW w:w="708" w:type="dxa"/>
            <w:tcBorders>
              <w:left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-5.90</w:t>
            </w:r>
          </w:p>
        </w:tc>
        <w:tc>
          <w:tcPr>
            <w:tcW w:w="851" w:type="dxa"/>
            <w:tcBorders>
              <w:lef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仿宋"/>
                <w:sz w:val="21"/>
                <w:szCs w:val="21"/>
                <w:lang w:val="en-US" w:eastAsia="zh-CN"/>
              </w:rPr>
            </w:pPr>
            <w:r>
              <w:rPr>
                <w:rFonts w:hint="eastAsia" w:eastAsia="仿宋"/>
                <w:sz w:val="21"/>
                <w:szCs w:val="21"/>
                <w:lang w:val="en-US" w:eastAsia="zh-CN"/>
              </w:rPr>
              <w:t>718.42</w:t>
            </w:r>
          </w:p>
        </w:tc>
        <w:tc>
          <w:tcPr>
            <w:tcW w:w="709" w:type="dxa"/>
            <w:noWrap w:val="0"/>
            <w:vAlign w:val="center"/>
          </w:tcPr>
          <w:p>
            <w:pPr>
              <w:keepNext w:val="0"/>
              <w:keepLines w:val="0"/>
              <w:pageBreakBefore w:val="0"/>
              <w:widowControl/>
              <w:kinsoku/>
              <w:overflowPunct/>
              <w:topLinePunct w:val="0"/>
              <w:autoSpaceDE/>
              <w:autoSpaceDN/>
              <w:bidi w:val="0"/>
              <w:spacing w:line="560" w:lineRule="exact"/>
              <w:jc w:val="right"/>
              <w:textAlignment w:val="center"/>
              <w:rPr>
                <w:rFonts w:hint="default" w:eastAsia="宋体"/>
                <w:sz w:val="21"/>
                <w:szCs w:val="21"/>
                <w:lang w:val="en-US" w:eastAsia="zh-CN"/>
              </w:rPr>
            </w:pPr>
            <w:r>
              <w:rPr>
                <w:rFonts w:hint="eastAsia" w:eastAsia="宋体"/>
                <w:sz w:val="21"/>
                <w:szCs w:val="21"/>
                <w:lang w:val="en-US" w:eastAsia="zh-CN"/>
              </w:rPr>
              <w:t>712.39</w:t>
            </w:r>
          </w:p>
        </w:tc>
        <w:tc>
          <w:tcPr>
            <w:tcW w:w="1559" w:type="dxa"/>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-6.03</w:t>
            </w:r>
          </w:p>
        </w:tc>
        <w:tc>
          <w:tcPr>
            <w:tcW w:w="1701" w:type="dxa"/>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eastAsia="仿宋"/>
                <w:sz w:val="21"/>
                <w:szCs w:val="21"/>
                <w:lang w:val="en-US" w:eastAsia="zh-CN"/>
              </w:rPr>
            </w:pPr>
            <w:r>
              <w:rPr>
                <w:rFonts w:hint="eastAsia" w:eastAsia="仿宋"/>
                <w:sz w:val="21"/>
                <w:szCs w:val="21"/>
                <w:lang w:val="en-US" w:eastAsia="zh-CN"/>
              </w:rPr>
              <w:t>108.8</w:t>
            </w:r>
          </w:p>
        </w:tc>
      </w:tr>
    </w:tbl>
    <w:p>
      <w:pPr>
        <w:keepNext w:val="0"/>
        <w:keepLines w:val="0"/>
        <w:pageBreakBefore w:val="0"/>
        <w:kinsoku/>
        <w:overflowPunct/>
        <w:topLinePunct w:val="0"/>
        <w:autoSpaceDE/>
        <w:autoSpaceDN/>
        <w:bidi w:val="0"/>
        <w:spacing w:line="560" w:lineRule="exact"/>
        <w:ind w:firstLine="420" w:firstLineChars="200"/>
        <w:rPr>
          <w:rFonts w:eastAsia="楷体_GB2312"/>
          <w:sz w:val="21"/>
          <w:szCs w:val="21"/>
        </w:rPr>
      </w:pP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从上表可以看出：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2020</w:t>
      </w:r>
      <w:r>
        <w:rPr>
          <w:rFonts w:hint="eastAsia" w:ascii="仿宋_GB2312" w:hAnsi="仿宋_GB2312" w:eastAsia="仿宋_GB2312" w:cs="仿宋_GB2312"/>
          <w:kern w:val="0"/>
          <w:sz w:val="32"/>
          <w:szCs w:val="32"/>
          <w:lang w:val="en-US" w:eastAsia="zh-CN"/>
        </w:rPr>
        <w:t>年，市科协决算报表，预算完成</w:t>
      </w:r>
      <w:r>
        <w:rPr>
          <w:rFonts w:hint="eastAsia" w:ascii="仿宋_GB2312" w:hAnsi="仿宋_GB2312" w:cs="仿宋_GB2312"/>
          <w:kern w:val="0"/>
          <w:sz w:val="32"/>
          <w:szCs w:val="32"/>
          <w:lang w:val="en-US" w:eastAsia="zh-CN"/>
        </w:rPr>
        <w:t>712.39</w:t>
      </w:r>
      <w:r>
        <w:rPr>
          <w:rFonts w:hint="eastAsia" w:ascii="仿宋_GB2312" w:hAnsi="仿宋_GB2312" w:eastAsia="仿宋_GB2312" w:cs="仿宋_GB2312"/>
          <w:kern w:val="0"/>
          <w:sz w:val="32"/>
          <w:szCs w:val="32"/>
          <w:lang w:val="en-US" w:eastAsia="zh-CN"/>
        </w:rPr>
        <w:t>万元，预算完成率为</w:t>
      </w:r>
      <w:r>
        <w:rPr>
          <w:rFonts w:hint="eastAsia" w:ascii="仿宋_GB2312" w:hAnsi="仿宋_GB2312" w:cs="仿宋_GB2312"/>
          <w:kern w:val="0"/>
          <w:sz w:val="32"/>
          <w:szCs w:val="32"/>
          <w:lang w:val="en-US" w:eastAsia="zh-CN"/>
        </w:rPr>
        <w:t>98.61</w:t>
      </w: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结余9.71万元。主要原因是一笔科普设备因厂家原因未按时交货，完成采购程序未支付货款</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2020年基本支出预算执行差异的主要是人员经费增加，因为2020年新增军转干部1名，绩效、文明、综治等奖励标准上浮。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2020年项目支出预算执行差异主要是2020年科普专项经费有62.06万元直接有市财政下达到相关单位。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2020</w:t>
      </w:r>
      <w:r>
        <w:rPr>
          <w:rFonts w:hint="eastAsia" w:ascii="仿宋_GB2312" w:hAnsi="仿宋_GB2312" w:eastAsia="仿宋_GB2312" w:cs="仿宋_GB2312"/>
          <w:kern w:val="0"/>
          <w:sz w:val="32"/>
          <w:szCs w:val="32"/>
          <w:lang w:val="en-US" w:eastAsia="zh-CN"/>
        </w:rPr>
        <w:t>年</w:t>
      </w:r>
      <w:r>
        <w:rPr>
          <w:rFonts w:hint="eastAsia" w:ascii="仿宋_GB2312" w:hAnsi="仿宋_GB2312" w:cs="仿宋_GB2312"/>
          <w:kern w:val="0"/>
          <w:sz w:val="32"/>
          <w:szCs w:val="32"/>
          <w:lang w:val="en-US" w:eastAsia="zh-CN"/>
        </w:rPr>
        <w:t>决算数较2019年决算差异的主要原因是2019年上年结转的经费今年支出</w:t>
      </w:r>
      <w:r>
        <w:rPr>
          <w:rFonts w:hint="eastAsia" w:ascii="仿宋_GB2312" w:hAnsi="仿宋_GB2312" w:eastAsia="仿宋_GB2312" w:cs="仿宋_GB2312"/>
          <w:kern w:val="0"/>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outlineLvl w:val="0"/>
        <w:rPr>
          <w:rFonts w:eastAsia="楷体"/>
          <w:kern w:val="0"/>
          <w:sz w:val="32"/>
          <w:szCs w:val="32"/>
        </w:rPr>
      </w:pPr>
      <w:r>
        <w:rPr>
          <w:rFonts w:eastAsia="楷体"/>
          <w:kern w:val="0"/>
          <w:sz w:val="32"/>
          <w:szCs w:val="32"/>
        </w:rPr>
        <w:t>（三）“三公”经费支出使用和管理情况</w:t>
      </w:r>
    </w:p>
    <w:p>
      <w:pPr>
        <w:keepNext w:val="0"/>
        <w:keepLines w:val="0"/>
        <w:pageBreakBefore w:val="0"/>
        <w:kinsoku/>
        <w:overflowPunct/>
        <w:topLinePunct w:val="0"/>
        <w:autoSpaceDE/>
        <w:autoSpaceDN/>
        <w:bidi w:val="0"/>
        <w:spacing w:line="560" w:lineRule="exact"/>
        <w:ind w:firstLine="640"/>
        <w:jc w:val="right"/>
        <w:rPr>
          <w:rFonts w:eastAsia="仿宋"/>
          <w:sz w:val="32"/>
          <w:szCs w:val="32"/>
        </w:rPr>
      </w:pPr>
      <w:r>
        <w:rPr>
          <w:rFonts w:eastAsia="仿宋"/>
          <w:sz w:val="28"/>
          <w:szCs w:val="28"/>
        </w:rPr>
        <w:t>金额单位：万元</w:t>
      </w:r>
    </w:p>
    <w:tbl>
      <w:tblPr>
        <w:tblStyle w:val="3"/>
        <w:tblW w:w="0" w:type="auto"/>
        <w:jc w:val="center"/>
        <w:tblLayout w:type="fixed"/>
        <w:tblCellMar>
          <w:top w:w="0" w:type="dxa"/>
          <w:left w:w="108" w:type="dxa"/>
          <w:bottom w:w="0" w:type="dxa"/>
          <w:right w:w="108" w:type="dxa"/>
        </w:tblCellMar>
      </w:tblPr>
      <w:tblGrid>
        <w:gridCol w:w="1912"/>
        <w:gridCol w:w="1315"/>
        <w:gridCol w:w="1134"/>
        <w:gridCol w:w="1417"/>
        <w:gridCol w:w="1418"/>
        <w:gridCol w:w="1864"/>
      </w:tblGrid>
      <w:tr>
        <w:tblPrEx>
          <w:tblCellMar>
            <w:top w:w="0" w:type="dxa"/>
            <w:left w:w="108" w:type="dxa"/>
            <w:bottom w:w="0" w:type="dxa"/>
            <w:right w:w="108" w:type="dxa"/>
          </w:tblCellMar>
        </w:tblPrEx>
        <w:trPr>
          <w:trHeight w:val="205" w:hRule="atLeast"/>
          <w:jc w:val="center"/>
        </w:trPr>
        <w:tc>
          <w:tcPr>
            <w:tcW w:w="19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sz w:val="24"/>
              </w:rPr>
            </w:pPr>
            <w:r>
              <w:rPr>
                <w:rFonts w:eastAsia="仿宋"/>
                <w:sz w:val="24"/>
              </w:rPr>
              <w:t>项目</w:t>
            </w:r>
          </w:p>
        </w:tc>
        <w:tc>
          <w:tcPr>
            <w:tcW w:w="1315" w:type="dxa"/>
            <w:vMerge w:val="restart"/>
            <w:tcBorders>
              <w:top w:val="single" w:color="auto" w:sz="4" w:space="0"/>
              <w:left w:val="nil"/>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201</w:t>
            </w:r>
            <w:r>
              <w:rPr>
                <w:rFonts w:hint="eastAsia" w:eastAsia="仿宋"/>
                <w:kern w:val="0"/>
                <w:sz w:val="24"/>
                <w:lang w:val="en-US" w:eastAsia="zh-CN"/>
              </w:rPr>
              <w:t>9</w:t>
            </w:r>
            <w:r>
              <w:rPr>
                <w:rFonts w:eastAsia="仿宋"/>
                <w:kern w:val="0"/>
                <w:sz w:val="24"/>
              </w:rPr>
              <w:t>年</w:t>
            </w:r>
          </w:p>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决算</w:t>
            </w:r>
          </w:p>
        </w:tc>
        <w:tc>
          <w:tcPr>
            <w:tcW w:w="396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20</w:t>
            </w:r>
            <w:r>
              <w:rPr>
                <w:rFonts w:hint="eastAsia" w:eastAsia="仿宋"/>
                <w:kern w:val="0"/>
                <w:sz w:val="24"/>
                <w:lang w:val="en-US" w:eastAsia="zh-CN"/>
              </w:rPr>
              <w:t>20</w:t>
            </w:r>
            <w:r>
              <w:rPr>
                <w:rFonts w:eastAsia="仿宋"/>
                <w:kern w:val="0"/>
                <w:sz w:val="24"/>
              </w:rPr>
              <w:t>年</w:t>
            </w:r>
          </w:p>
        </w:tc>
        <w:tc>
          <w:tcPr>
            <w:tcW w:w="1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kern w:val="0"/>
                <w:sz w:val="21"/>
                <w:szCs w:val="21"/>
              </w:rPr>
            </w:pPr>
            <w:r>
              <w:rPr>
                <w:rFonts w:eastAsia="仿宋"/>
                <w:kern w:val="0"/>
                <w:sz w:val="21"/>
                <w:szCs w:val="21"/>
              </w:rPr>
              <w:t>20</w:t>
            </w:r>
            <w:r>
              <w:rPr>
                <w:rFonts w:hint="eastAsia" w:eastAsia="仿宋"/>
                <w:kern w:val="0"/>
                <w:sz w:val="21"/>
                <w:szCs w:val="21"/>
                <w:lang w:val="en-US" w:eastAsia="zh-CN"/>
              </w:rPr>
              <w:t>20</w:t>
            </w:r>
            <w:r>
              <w:rPr>
                <w:rFonts w:eastAsia="仿宋"/>
                <w:kern w:val="0"/>
                <w:sz w:val="21"/>
                <w:szCs w:val="21"/>
              </w:rPr>
              <w:t>年较201</w:t>
            </w:r>
            <w:r>
              <w:rPr>
                <w:rFonts w:hint="eastAsia" w:eastAsia="仿宋"/>
                <w:kern w:val="0"/>
                <w:sz w:val="21"/>
                <w:szCs w:val="21"/>
                <w:lang w:val="en-US" w:eastAsia="zh-CN"/>
              </w:rPr>
              <w:t>9</w:t>
            </w:r>
            <w:r>
              <w:rPr>
                <w:rFonts w:eastAsia="仿宋"/>
                <w:kern w:val="0"/>
                <w:sz w:val="21"/>
                <w:szCs w:val="21"/>
              </w:rPr>
              <w:t>年决算增减</w:t>
            </w:r>
          </w:p>
        </w:tc>
      </w:tr>
      <w:tr>
        <w:tblPrEx>
          <w:tblCellMar>
            <w:top w:w="0" w:type="dxa"/>
            <w:left w:w="108" w:type="dxa"/>
            <w:bottom w:w="0" w:type="dxa"/>
            <w:right w:w="108" w:type="dxa"/>
          </w:tblCellMar>
        </w:tblPrEx>
        <w:trPr>
          <w:trHeight w:val="528" w:hRule="atLeast"/>
          <w:jc w:val="center"/>
        </w:trPr>
        <w:tc>
          <w:tcPr>
            <w:tcW w:w="1912" w:type="dxa"/>
            <w:vMerge w:val="continue"/>
            <w:tcBorders>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left"/>
              <w:rPr>
                <w:rFonts w:eastAsia="仿宋"/>
                <w:kern w:val="0"/>
                <w:sz w:val="24"/>
              </w:rPr>
            </w:pPr>
          </w:p>
        </w:tc>
        <w:tc>
          <w:tcPr>
            <w:tcW w:w="1315" w:type="dxa"/>
            <w:vMerge w:val="continue"/>
            <w:tcBorders>
              <w:left w:val="nil"/>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center"/>
              <w:rPr>
                <w:rFonts w:eastAsia="仿宋"/>
                <w:kern w:val="0"/>
                <w:sz w:val="24"/>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预算</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决算</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eastAsia" w:eastAsia="仿宋"/>
                <w:kern w:val="0"/>
                <w:sz w:val="24"/>
              </w:rPr>
            </w:pPr>
            <w:r>
              <w:rPr>
                <w:rFonts w:hint="eastAsia" w:eastAsia="仿宋"/>
                <w:kern w:val="0"/>
                <w:sz w:val="24"/>
              </w:rPr>
              <w:t>增减</w:t>
            </w:r>
          </w:p>
        </w:tc>
        <w:tc>
          <w:tcPr>
            <w:tcW w:w="1864" w:type="dxa"/>
            <w:vMerge w:val="continue"/>
            <w:tcBorders>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center"/>
              <w:rPr>
                <w:rFonts w:eastAsia="仿宋"/>
                <w:kern w:val="0"/>
                <w:sz w:val="24"/>
              </w:rPr>
            </w:pPr>
          </w:p>
        </w:tc>
      </w:tr>
      <w:tr>
        <w:tblPrEx>
          <w:tblCellMar>
            <w:top w:w="0" w:type="dxa"/>
            <w:left w:w="108" w:type="dxa"/>
            <w:bottom w:w="0" w:type="dxa"/>
            <w:right w:w="108" w:type="dxa"/>
          </w:tblCellMar>
        </w:tblPrEx>
        <w:trPr>
          <w:trHeight w:val="359" w:hRule="atLeast"/>
          <w:jc w:val="center"/>
        </w:trPr>
        <w:tc>
          <w:tcPr>
            <w:tcW w:w="191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公务接待费</w:t>
            </w:r>
          </w:p>
        </w:tc>
        <w:tc>
          <w:tcPr>
            <w:tcW w:w="1315"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1.4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2.5</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1.13</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-1.37</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-0.27</w:t>
            </w:r>
          </w:p>
        </w:tc>
      </w:tr>
      <w:tr>
        <w:tblPrEx>
          <w:tblCellMar>
            <w:top w:w="0" w:type="dxa"/>
            <w:left w:w="108" w:type="dxa"/>
            <w:bottom w:w="0" w:type="dxa"/>
            <w:right w:w="108" w:type="dxa"/>
          </w:tblCellMar>
        </w:tblPrEx>
        <w:trPr>
          <w:trHeight w:val="285" w:hRule="atLeast"/>
          <w:jc w:val="center"/>
        </w:trPr>
        <w:tc>
          <w:tcPr>
            <w:tcW w:w="191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公车运行维护费</w:t>
            </w:r>
          </w:p>
        </w:tc>
        <w:tc>
          <w:tcPr>
            <w:tcW w:w="1315"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2.6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3.5</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1.16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-2.34</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-1.44</w:t>
            </w:r>
          </w:p>
        </w:tc>
      </w:tr>
      <w:tr>
        <w:tblPrEx>
          <w:tblCellMar>
            <w:top w:w="0" w:type="dxa"/>
            <w:left w:w="108" w:type="dxa"/>
            <w:bottom w:w="0" w:type="dxa"/>
            <w:right w:w="108" w:type="dxa"/>
          </w:tblCellMar>
        </w:tblPrEx>
        <w:trPr>
          <w:trHeight w:val="285" w:hRule="atLeast"/>
          <w:jc w:val="center"/>
        </w:trPr>
        <w:tc>
          <w:tcPr>
            <w:tcW w:w="191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center"/>
              <w:rPr>
                <w:rFonts w:eastAsia="仿宋"/>
                <w:kern w:val="0"/>
                <w:sz w:val="24"/>
              </w:rPr>
            </w:pPr>
            <w:r>
              <w:rPr>
                <w:rFonts w:eastAsia="仿宋"/>
                <w:kern w:val="0"/>
                <w:sz w:val="24"/>
              </w:rPr>
              <w:t>因公出国出境费</w:t>
            </w:r>
          </w:p>
        </w:tc>
        <w:tc>
          <w:tcPr>
            <w:tcW w:w="1315"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eastAsia" w:eastAsia="仿宋_GB2312"/>
                <w:kern w:val="0"/>
                <w:sz w:val="24"/>
                <w:lang w:val="en-US" w:eastAsia="zh-CN"/>
              </w:rPr>
            </w:pPr>
            <w:r>
              <w:rPr>
                <w:rFonts w:hint="eastAsia"/>
                <w:kern w:val="0"/>
                <w:sz w:val="24"/>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0</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p>
        </w:tc>
      </w:tr>
      <w:tr>
        <w:tblPrEx>
          <w:tblCellMar>
            <w:top w:w="0" w:type="dxa"/>
            <w:left w:w="108" w:type="dxa"/>
            <w:bottom w:w="0" w:type="dxa"/>
            <w:right w:w="108" w:type="dxa"/>
          </w:tblCellMar>
        </w:tblPrEx>
        <w:trPr>
          <w:trHeight w:val="285" w:hRule="atLeast"/>
          <w:jc w:val="center"/>
        </w:trPr>
        <w:tc>
          <w:tcPr>
            <w:tcW w:w="191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overflowPunct/>
              <w:topLinePunct w:val="0"/>
              <w:autoSpaceDE/>
              <w:autoSpaceDN/>
              <w:bidi w:val="0"/>
              <w:spacing w:line="560" w:lineRule="exact"/>
              <w:jc w:val="center"/>
              <w:rPr>
                <w:kern w:val="0"/>
                <w:sz w:val="24"/>
              </w:rPr>
            </w:pPr>
            <w:r>
              <w:rPr>
                <w:kern w:val="0"/>
                <w:sz w:val="24"/>
              </w:rPr>
              <w:t>合  计</w:t>
            </w:r>
          </w:p>
        </w:tc>
        <w:tc>
          <w:tcPr>
            <w:tcW w:w="1315"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6</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2.29</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-3.71</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eastAsia="仿宋_GB2312"/>
                <w:kern w:val="0"/>
                <w:sz w:val="24"/>
                <w:lang w:val="en-US" w:eastAsia="zh-CN"/>
              </w:rPr>
            </w:pPr>
            <w:r>
              <w:rPr>
                <w:rFonts w:hint="eastAsia"/>
                <w:kern w:val="0"/>
                <w:sz w:val="24"/>
                <w:lang w:val="en-US" w:eastAsia="zh-CN"/>
              </w:rPr>
              <w:t>-1.71</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从帐面反映的上表数字可以看出：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，市科协</w:t>
      </w:r>
      <w:r>
        <w:rPr>
          <w:rFonts w:hint="eastAsia" w:ascii="仿宋_GB2312" w:hAnsi="仿宋_GB2312" w:eastAsia="仿宋_GB2312" w:cs="仿宋_GB2312"/>
          <w:kern w:val="0"/>
          <w:sz w:val="32"/>
          <w:szCs w:val="32"/>
        </w:rPr>
        <w:t>对“三公”经费控制较好，较上年</w:t>
      </w:r>
      <w:r>
        <w:rPr>
          <w:rFonts w:hint="eastAsia" w:ascii="仿宋_GB2312" w:hAnsi="仿宋_GB2312" w:cs="仿宋_GB2312"/>
          <w:kern w:val="0"/>
          <w:sz w:val="32"/>
          <w:szCs w:val="32"/>
          <w:lang w:eastAsia="zh-CN"/>
        </w:rPr>
        <w:t>减少</w:t>
      </w:r>
      <w:r>
        <w:rPr>
          <w:rFonts w:hint="eastAsia" w:ascii="仿宋_GB2312" w:hAnsi="仿宋_GB2312" w:cs="仿宋_GB2312"/>
          <w:kern w:val="0"/>
          <w:sz w:val="32"/>
          <w:szCs w:val="32"/>
          <w:lang w:val="en-US" w:eastAsia="zh-CN"/>
        </w:rPr>
        <w:t>1.71</w:t>
      </w:r>
      <w:r>
        <w:rPr>
          <w:rFonts w:hint="eastAsia" w:ascii="仿宋_GB2312" w:hAnsi="仿宋_GB2312" w:eastAsia="仿宋_GB2312" w:cs="仿宋_GB2312"/>
          <w:kern w:val="0"/>
          <w:sz w:val="32"/>
          <w:szCs w:val="32"/>
        </w:rPr>
        <w:t>万元，减幅</w:t>
      </w:r>
      <w:r>
        <w:rPr>
          <w:rFonts w:hint="eastAsia" w:ascii="仿宋_GB2312" w:hAnsi="仿宋_GB2312" w:cs="仿宋_GB2312"/>
          <w:kern w:val="0"/>
          <w:sz w:val="32"/>
          <w:szCs w:val="32"/>
          <w:lang w:val="en-US" w:eastAsia="zh-CN"/>
        </w:rPr>
        <w:t>42.75</w:t>
      </w:r>
      <w:r>
        <w:rPr>
          <w:rFonts w:hint="eastAsia" w:ascii="仿宋_GB2312" w:hAnsi="仿宋_GB2312" w:eastAsia="仿宋_GB2312" w:cs="仿宋_GB2312"/>
          <w:kern w:val="0"/>
          <w:sz w:val="32"/>
          <w:szCs w:val="32"/>
        </w:rPr>
        <w:t>%。较20</w:t>
      </w:r>
      <w:r>
        <w:rPr>
          <w:rFonts w:hint="eastAsia" w:ascii="仿宋_GB2312" w:hAnsi="仿宋_GB2312" w:cs="仿宋_GB2312"/>
          <w:kern w:val="0"/>
          <w:sz w:val="32"/>
          <w:szCs w:val="32"/>
          <w:lang w:val="en-US" w:eastAsia="zh-CN"/>
        </w:rPr>
        <w:t>20</w:t>
      </w:r>
      <w:r>
        <w:rPr>
          <w:rFonts w:hint="eastAsia" w:ascii="仿宋_GB2312" w:hAnsi="仿宋_GB2312" w:eastAsia="仿宋_GB2312" w:cs="仿宋_GB2312"/>
          <w:kern w:val="0"/>
          <w:sz w:val="32"/>
          <w:szCs w:val="32"/>
        </w:rPr>
        <w:t>年预算</w:t>
      </w:r>
      <w:r>
        <w:rPr>
          <w:rFonts w:hint="eastAsia" w:ascii="仿宋_GB2312" w:hAnsi="仿宋_GB2312" w:cs="仿宋_GB2312"/>
          <w:kern w:val="0"/>
          <w:sz w:val="32"/>
          <w:szCs w:val="32"/>
          <w:lang w:eastAsia="zh-CN"/>
        </w:rPr>
        <w:t>减少</w:t>
      </w:r>
      <w:r>
        <w:rPr>
          <w:rFonts w:hint="eastAsia" w:ascii="仿宋_GB2312" w:hAnsi="仿宋_GB2312" w:cs="仿宋_GB2312"/>
          <w:kern w:val="0"/>
          <w:sz w:val="32"/>
          <w:szCs w:val="32"/>
          <w:lang w:val="en-US" w:eastAsia="zh-CN"/>
        </w:rPr>
        <w:t>3.71</w:t>
      </w:r>
      <w:r>
        <w:rPr>
          <w:rFonts w:hint="eastAsia" w:ascii="仿宋_GB2312" w:hAnsi="仿宋_GB2312" w:eastAsia="仿宋_GB2312" w:cs="仿宋_GB2312"/>
          <w:kern w:val="0"/>
          <w:sz w:val="32"/>
          <w:szCs w:val="32"/>
        </w:rPr>
        <w:t>万元，减幅</w:t>
      </w:r>
      <w:r>
        <w:rPr>
          <w:rFonts w:hint="eastAsia" w:ascii="仿宋_GB2312" w:hAnsi="仿宋_GB2312" w:cs="仿宋_GB2312"/>
          <w:kern w:val="0"/>
          <w:sz w:val="32"/>
          <w:szCs w:val="32"/>
          <w:lang w:val="en-US" w:eastAsia="zh-CN"/>
        </w:rPr>
        <w:t>61.83</w:t>
      </w:r>
      <w:r>
        <w:rPr>
          <w:rFonts w:hint="eastAsia" w:ascii="仿宋_GB2312" w:hAnsi="仿宋_GB2312" w:eastAsia="仿宋_GB2312" w:cs="仿宋_GB2312"/>
          <w:kern w:val="0"/>
          <w:sz w:val="32"/>
          <w:szCs w:val="32"/>
        </w:rPr>
        <w:t>%。主要原因</w:t>
      </w:r>
      <w:r>
        <w:rPr>
          <w:rFonts w:hint="eastAsia" w:ascii="仿宋_GB2312" w:hAnsi="仿宋_GB2312" w:cs="仿宋_GB2312"/>
          <w:kern w:val="0"/>
          <w:sz w:val="32"/>
          <w:szCs w:val="32"/>
          <w:lang w:eastAsia="zh-CN"/>
        </w:rPr>
        <w:t>受疫情影响全年公车出行和公务接待的次数减少</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spacing w:line="560" w:lineRule="exact"/>
        <w:ind w:firstLine="640" w:firstLineChars="200"/>
        <w:rPr>
          <w:rFonts w:eastAsia="黑体"/>
          <w:sz w:val="32"/>
          <w:szCs w:val="32"/>
        </w:rPr>
      </w:pPr>
      <w:r>
        <w:rPr>
          <w:rFonts w:hint="eastAsia" w:eastAsia="黑体"/>
          <w:sz w:val="32"/>
          <w:szCs w:val="32"/>
          <w:lang w:eastAsia="zh-CN"/>
        </w:rPr>
        <w:t>三、</w:t>
      </w:r>
      <w:r>
        <w:rPr>
          <w:rFonts w:eastAsia="黑体"/>
          <w:sz w:val="32"/>
          <w:szCs w:val="32"/>
        </w:rPr>
        <w:t>部门绩效目标</w:t>
      </w:r>
    </w:p>
    <w:p>
      <w:pPr>
        <w:keepNext w:val="0"/>
        <w:keepLines w:val="0"/>
        <w:pageBreakBefore w:val="0"/>
        <w:kinsoku/>
        <w:overflowPunct/>
        <w:topLinePunct w:val="0"/>
        <w:autoSpaceDE/>
        <w:autoSpaceDN/>
        <w:bidi w:val="0"/>
        <w:spacing w:line="560" w:lineRule="exact"/>
        <w:ind w:firstLine="640" w:firstLineChars="200"/>
        <w:rPr>
          <w:rFonts w:eastAsia="楷体"/>
          <w:sz w:val="32"/>
          <w:szCs w:val="32"/>
        </w:rPr>
      </w:pPr>
      <w:r>
        <w:rPr>
          <w:rFonts w:hAnsi="楷体" w:eastAsia="楷体"/>
          <w:sz w:val="32"/>
          <w:szCs w:val="32"/>
        </w:rPr>
        <w:t>（一）部门绩效总目标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深入实施《科普法》和《全民科学素质行动计划纲要》，努力营造高氛围的科普环境，让科普知识深入到每个公民的日常生活，提高全市公民科学素质。打造优秀科普基地，宣传普及</w:t>
      </w:r>
      <w:r>
        <w:rPr>
          <w:rFonts w:hint="eastAsia" w:ascii="仿宋_GB2312" w:hAnsi="仿宋_GB2312" w:cs="仿宋_GB2312"/>
          <w:kern w:val="0"/>
          <w:sz w:val="32"/>
          <w:szCs w:val="32"/>
          <w:lang w:eastAsia="zh-CN"/>
        </w:rPr>
        <w:t>绿色、生态、健康的生成生活</w:t>
      </w:r>
      <w:r>
        <w:rPr>
          <w:rFonts w:hint="eastAsia" w:ascii="仿宋_GB2312" w:hAnsi="仿宋_GB2312" w:eastAsia="仿宋_GB2312" w:cs="仿宋_GB2312"/>
          <w:kern w:val="0"/>
          <w:sz w:val="32"/>
          <w:szCs w:val="32"/>
        </w:rPr>
        <w:t>观念，促进经济增长方式的转变和科学文明健康生活方式的形成，提升城市综合竞争力。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（二）2020年度部门绩效目标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Arial" w:eastAsia="仿宋_GB2312" w:cs="Arial"/>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组织开展决策咨询，当好党委政府参谋助手。依托所属学会、高校科协学科专家的人才资源优势，紧贴市委市政府年度中心工作，围绕“开放强市、产业立市”发展战略，广泛公开征集咨询建言课题，为助力常德经济社会高质量发展献计献策。</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楷体_GB2312" w:hAnsi="楷体_GB2312" w:eastAsia="楷体_GB2312" w:cs="楷体_GB2312"/>
          <w:sz w:val="32"/>
          <w:szCs w:val="32"/>
          <w:lang w:val="en-US" w:eastAsia="zh-CN"/>
        </w:rPr>
        <w:t>推广融合试点建设成果，完善科普信息化工作机制。</w:t>
      </w:r>
      <w:r>
        <w:rPr>
          <w:rFonts w:hint="eastAsia" w:ascii="仿宋_GB2312" w:hAnsi="仿宋_GB2312" w:eastAsia="仿宋_GB2312" w:cs="仿宋_GB2312"/>
          <w:sz w:val="32"/>
          <w:szCs w:val="32"/>
          <w:lang w:val="en-US" w:eastAsia="zh-CN"/>
        </w:rPr>
        <w:t>总结提炼科普信息化融合试点工作经验，有效打通科普传播梗阻环节。实施活动引领，进一步强化“科普常德”微信平台内容建设，设置增添常德特色科普栏目，线上线下相互融合，提升“粉丝量”和影响力。加强管理互动，组织引导信息员开展培训交流，通过有效的激励举措，让科普传播分享形成自觉行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cs="仿宋_GB2312"/>
          <w:sz w:val="32"/>
          <w:szCs w:val="32"/>
          <w:lang w:val="en-US" w:eastAsia="zh-CN"/>
        </w:rPr>
        <w:t>3.</w:t>
      </w:r>
      <w:r>
        <w:rPr>
          <w:rFonts w:hint="eastAsia" w:ascii="楷体_GB2312" w:hAnsi="楷体_GB2312" w:eastAsia="楷体_GB2312" w:cs="楷体_GB2312"/>
          <w:sz w:val="32"/>
          <w:szCs w:val="32"/>
          <w:lang w:val="en-US" w:eastAsia="zh-CN"/>
        </w:rPr>
        <w:t>加强科技志愿者队伍建设，推动服务活动常态化。</w:t>
      </w:r>
      <w:r>
        <w:rPr>
          <w:rFonts w:hint="eastAsia" w:ascii="仿宋_GB2312" w:hAnsi="仿宋_GB2312" w:eastAsia="仿宋_GB2312" w:cs="仿宋_GB2312"/>
          <w:sz w:val="32"/>
          <w:szCs w:val="32"/>
          <w:lang w:val="en-US" w:eastAsia="zh-CN"/>
        </w:rPr>
        <w:t>进一步壮大网络，确保2020年底，市本级志愿者达到1000名以上，各区县（市）科技志愿者增加到500名以上。进一步增添活力，结合“科技活动周”“全国科普日”等重要宣传节点，加强与区县（市）的工作联动，通过科普宣传讲解、科普大篷车进校园、农技服务推广等形式，实现科技志愿服务从组织到内容的有效覆盖。</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cs="仿宋_GB2312"/>
          <w:kern w:val="0"/>
          <w:sz w:val="32"/>
          <w:szCs w:val="32"/>
          <w:lang w:val="en-US" w:eastAsia="zh-CN"/>
        </w:rPr>
        <w:t>4.</w:t>
      </w:r>
      <w:r>
        <w:rPr>
          <w:rFonts w:hint="eastAsia" w:ascii="楷体_GB2312" w:hAnsi="楷体_GB2312" w:eastAsia="楷体_GB2312" w:cs="楷体_GB2312"/>
          <w:b w:val="0"/>
          <w:bCs/>
          <w:sz w:val="32"/>
          <w:szCs w:val="32"/>
          <w:lang w:eastAsia="zh-CN"/>
        </w:rPr>
        <w:t>规范授课管理，</w:t>
      </w:r>
      <w:r>
        <w:rPr>
          <w:rFonts w:hint="eastAsia" w:ascii="楷体_GB2312" w:hAnsi="楷体_GB2312" w:eastAsia="楷体_GB2312" w:cs="楷体_GB2312"/>
          <w:b w:val="0"/>
          <w:bCs/>
          <w:sz w:val="32"/>
          <w:szCs w:val="32"/>
        </w:rPr>
        <w:t>开展科普讲师团“山村服务</w:t>
      </w:r>
      <w:r>
        <w:rPr>
          <w:rFonts w:hint="eastAsia" w:ascii="楷体_GB2312" w:hAnsi="楷体_GB2312" w:eastAsia="楷体_GB2312" w:cs="楷体_GB2312"/>
          <w:b w:val="0"/>
          <w:bCs/>
          <w:sz w:val="32"/>
          <w:szCs w:val="32"/>
          <w:lang w:eastAsia="zh-CN"/>
        </w:rPr>
        <w:t>行动</w:t>
      </w:r>
      <w:r>
        <w:rPr>
          <w:rFonts w:hint="eastAsia" w:ascii="楷体_GB2312" w:hAnsi="楷体_GB2312" w:eastAsia="楷体_GB2312" w:cs="楷体_GB2312"/>
          <w:b w:val="0"/>
          <w:bCs/>
          <w:sz w:val="32"/>
          <w:szCs w:val="32"/>
        </w:rPr>
        <w:t>”。</w:t>
      </w:r>
      <w:r>
        <w:rPr>
          <w:rFonts w:hint="eastAsia" w:ascii="仿宋_GB2312" w:hAnsi="仿宋_GB2312" w:eastAsia="仿宋_GB2312" w:cs="仿宋_GB2312"/>
          <w:b w:val="0"/>
          <w:bCs/>
          <w:sz w:val="32"/>
          <w:szCs w:val="32"/>
          <w:lang w:eastAsia="zh-CN"/>
        </w:rPr>
        <w:t>通过进一步</w:t>
      </w:r>
      <w:r>
        <w:rPr>
          <w:rFonts w:hint="eastAsia" w:ascii="仿宋_GB2312" w:hAnsi="仿宋_GB2312" w:eastAsia="仿宋_GB2312" w:cs="仿宋_GB2312"/>
          <w:sz w:val="32"/>
          <w:szCs w:val="32"/>
          <w:lang w:eastAsia="zh-CN"/>
        </w:rPr>
        <w:t>明</w:t>
      </w:r>
      <w:r>
        <w:rPr>
          <w:rFonts w:hint="eastAsia" w:ascii="仿宋_GB2312" w:eastAsia="仿宋_GB2312"/>
          <w:sz w:val="32"/>
          <w:szCs w:val="32"/>
          <w:lang w:eastAsia="zh-CN"/>
        </w:rPr>
        <w:t>确工作职责，划定授课范围，突出科普重点，提升服务的主动性和针对性。</w:t>
      </w:r>
      <w:r>
        <w:rPr>
          <w:rFonts w:hint="eastAsia" w:ascii="仿宋_GB2312" w:eastAsia="仿宋_GB2312"/>
          <w:sz w:val="32"/>
          <w:szCs w:val="32"/>
        </w:rPr>
        <w:t>结合</w:t>
      </w:r>
      <w:r>
        <w:rPr>
          <w:rFonts w:hint="eastAsia" w:ascii="仿宋_GB2312" w:eastAsia="仿宋_GB2312"/>
          <w:sz w:val="32"/>
          <w:szCs w:val="32"/>
          <w:lang w:eastAsia="zh-CN"/>
        </w:rPr>
        <w:t>“</w:t>
      </w:r>
      <w:r>
        <w:rPr>
          <w:rFonts w:hint="eastAsia" w:ascii="仿宋_GB2312" w:eastAsia="仿宋_GB2312"/>
          <w:sz w:val="32"/>
          <w:szCs w:val="32"/>
        </w:rPr>
        <w:t>全国科技工作者日</w:t>
      </w:r>
      <w:r>
        <w:rPr>
          <w:rFonts w:hint="eastAsia" w:ascii="仿宋_GB2312" w:eastAsia="仿宋_GB2312"/>
          <w:sz w:val="32"/>
          <w:szCs w:val="32"/>
          <w:lang w:eastAsia="zh-CN"/>
        </w:rPr>
        <w:t>”</w:t>
      </w:r>
      <w:r>
        <w:rPr>
          <w:rFonts w:hint="eastAsia" w:ascii="仿宋_GB2312" w:eastAsia="仿宋_GB2312"/>
          <w:sz w:val="32"/>
          <w:szCs w:val="32"/>
        </w:rPr>
        <w:t>活动，开展主题为“科普出发，智惠万家”的“科普讲师团山村服务行”活动</w:t>
      </w:r>
      <w:r>
        <w:rPr>
          <w:rFonts w:hint="eastAsia" w:ascii="仿宋_GB2312" w:eastAsia="仿宋_GB2312"/>
          <w:sz w:val="32"/>
          <w:szCs w:val="32"/>
          <w:lang w:eastAsia="zh-CN"/>
        </w:rPr>
        <w:t>。</w:t>
      </w:r>
      <w:r>
        <w:rPr>
          <w:rFonts w:hint="eastAsia" w:ascii="仿宋_GB2312" w:eastAsia="仿宋_GB2312"/>
          <w:sz w:val="32"/>
          <w:szCs w:val="32"/>
        </w:rPr>
        <w:t>重点围绕贫困</w:t>
      </w:r>
      <w:r>
        <w:rPr>
          <w:rFonts w:hint="eastAsia" w:ascii="仿宋_GB2312" w:eastAsia="仿宋_GB2312"/>
          <w:sz w:val="32"/>
          <w:szCs w:val="32"/>
          <w:lang w:eastAsia="zh-CN"/>
        </w:rPr>
        <w:t>地区</w:t>
      </w:r>
      <w:r>
        <w:rPr>
          <w:rFonts w:hint="eastAsia" w:ascii="仿宋_GB2312" w:eastAsia="仿宋_GB2312"/>
          <w:sz w:val="32"/>
          <w:szCs w:val="32"/>
        </w:rPr>
        <w:t>农业产业发展和留守儿童，组织科普讲师团特聘专家</w:t>
      </w:r>
      <w:r>
        <w:rPr>
          <w:rFonts w:hint="eastAsia" w:ascii="仿宋_GB2312" w:eastAsia="仿宋_GB2312"/>
          <w:sz w:val="32"/>
          <w:szCs w:val="32"/>
          <w:lang w:eastAsia="zh-CN"/>
        </w:rPr>
        <w:t>、</w:t>
      </w:r>
      <w:r>
        <w:rPr>
          <w:rFonts w:hint="eastAsia" w:ascii="仿宋_GB2312" w:eastAsia="仿宋_GB2312"/>
          <w:sz w:val="32"/>
          <w:szCs w:val="32"/>
        </w:rPr>
        <w:t>科普大篷车</w:t>
      </w:r>
      <w:r>
        <w:rPr>
          <w:rFonts w:hint="eastAsia" w:ascii="仿宋_GB2312" w:eastAsia="仿宋_GB2312"/>
          <w:sz w:val="32"/>
          <w:szCs w:val="32"/>
          <w:lang w:eastAsia="zh-CN"/>
        </w:rPr>
        <w:t>，下田间地头、进乡村学校开展科普服务。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eastAsia="仿宋_GB2312"/>
          <w:lang w:val="en-US" w:eastAsia="zh-CN"/>
        </w:rPr>
      </w:pPr>
      <w:r>
        <w:rPr>
          <w:rFonts w:hint="eastAsia" w:ascii="楷体_GB2312" w:hAnsi="楷体_GB2312" w:eastAsia="楷体_GB2312" w:cs="楷体_GB2312"/>
          <w:sz w:val="32"/>
          <w:szCs w:val="32"/>
          <w:lang w:val="en-US" w:eastAsia="zh-CN"/>
        </w:rPr>
        <w:t>5.建设学习型机关，提升整体队伍服务水平。</w:t>
      </w:r>
      <w:r>
        <w:rPr>
          <w:rFonts w:hint="eastAsia" w:ascii="仿宋_GB2312" w:hAnsi="仿宋_GB2312" w:eastAsia="仿宋_GB2312" w:cs="仿宋_GB2312"/>
          <w:sz w:val="32"/>
          <w:szCs w:val="32"/>
          <w:lang w:val="en-US" w:eastAsia="zh-CN"/>
        </w:rPr>
        <w:t>做实政治理论学习，将党组中心组学习、全员政治理论学习统一合并为党组中心组集中扩大学习，严格按照有关流程坚持每月一学习。完善修订《市科协“三重一大”事项集体决策制度实施方案》，落实季度申报、定期研究制度，确保重大事项科学决策。</w:t>
      </w:r>
      <w:r>
        <w:rPr>
          <w:rFonts w:hint="eastAsia" w:ascii="仿宋_GB2312" w:hAnsi="仿宋_GB2312" w:cs="仿宋_GB2312"/>
          <w:sz w:val="32"/>
          <w:szCs w:val="32"/>
          <w:lang w:val="en-US" w:eastAsia="zh-CN"/>
        </w:rPr>
        <w:t>建立</w:t>
      </w:r>
      <w:r>
        <w:rPr>
          <w:rFonts w:hint="eastAsia" w:ascii="仿宋_GB2312" w:hAnsi="仿宋_GB2312" w:eastAsia="仿宋_GB2312" w:cs="仿宋_GB2312"/>
          <w:sz w:val="32"/>
          <w:szCs w:val="32"/>
          <w:lang w:val="en-US" w:eastAsia="zh-CN"/>
        </w:rPr>
        <w:t>常态化机制，进一步转变工作作风，提升工作技能，当好桥梁和纽带。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绩效评价工作情况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综合评价结果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color w:val="auto"/>
          <w:kern w:val="2"/>
          <w:sz w:val="32"/>
          <w:szCs w:val="32"/>
          <w:lang w:val="en-US" w:eastAsia="zh-CN"/>
        </w:rPr>
      </w:pPr>
      <w:r>
        <w:rPr>
          <w:rFonts w:hint="eastAsia" w:ascii="仿宋_GB2312" w:hAnsi="仿宋_GB2312" w:eastAsia="仿宋_GB2312" w:cs="仿宋_GB2312"/>
          <w:kern w:val="0"/>
          <w:sz w:val="32"/>
          <w:szCs w:val="32"/>
        </w:rPr>
        <w:t>经综合评价，根据《常德市市科协部门整体支出绩效评价指标体系》评分</w:t>
      </w:r>
      <w:r>
        <w:rPr>
          <w:rFonts w:hint="eastAsia" w:ascii="仿宋_GB2312" w:hAnsi="仿宋_GB2312" w:cs="仿宋_GB2312"/>
          <w:kern w:val="0"/>
          <w:sz w:val="32"/>
          <w:szCs w:val="32"/>
          <w:highlight w:val="none"/>
          <w:lang w:val="en-US" w:eastAsia="zh-CN"/>
        </w:rPr>
        <w:t>92.48</w:t>
      </w:r>
      <w:r>
        <w:rPr>
          <w:rFonts w:hint="eastAsia" w:ascii="仿宋_GB2312" w:hAnsi="仿宋_GB2312" w:eastAsia="仿宋_GB2312" w:cs="仿宋_GB2312"/>
          <w:kern w:val="0"/>
          <w:sz w:val="32"/>
          <w:szCs w:val="32"/>
          <w:highlight w:val="none"/>
        </w:rPr>
        <w:t>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部门整体支出绩效为“优秀”</w:t>
      </w:r>
      <w:r>
        <w:rPr>
          <w:rFonts w:hint="eastAsia" w:ascii="仿宋_GB2312" w:hAnsi="仿宋_GB2312" w:eastAsia="仿宋_GB2312" w:cs="仿宋_GB2312"/>
          <w:kern w:val="0"/>
          <w:sz w:val="32"/>
          <w:szCs w:val="32"/>
        </w:rPr>
        <w:t>。 具体评分情况见附件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在省科协科学指导下，在市委市政府坚强领导下，市科协坚持以习近平新时代中国特色社会主义思想为指导，主动落实疫情防控常态化要求，全面接受市委政治巡察，紧扣科协工作职责定位，为深入推进开放强市产业立市进程贡献了积极力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s="Times New Roman"/>
          <w:sz w:val="32"/>
          <w:szCs w:val="32"/>
        </w:rPr>
      </w:pPr>
      <w:r>
        <w:rPr>
          <w:rFonts w:hint="eastAsia" w:ascii="楷体_GB2312" w:hAnsi="楷体_GB2312" w:eastAsia="楷体_GB2312" w:cs="楷体_GB2312"/>
          <w:sz w:val="32"/>
          <w:szCs w:val="32"/>
          <w:lang w:eastAsia="zh-CN"/>
        </w:rPr>
        <w:t>（一）主动担当作为，</w:t>
      </w:r>
      <w:r>
        <w:rPr>
          <w:rFonts w:hint="eastAsia" w:ascii="楷体_GB2312" w:hAnsi="楷体_GB2312" w:eastAsia="楷体_GB2312" w:cs="楷体_GB2312"/>
          <w:sz w:val="32"/>
          <w:szCs w:val="32"/>
        </w:rPr>
        <w:t>持续开展应急科普宣传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新冠疫情发生以来，常德市科协提高站位，迅速行动，</w:t>
      </w:r>
      <w:r>
        <w:rPr>
          <w:rFonts w:hint="eastAsia" w:ascii="仿宋_GB2312" w:eastAsia="仿宋_GB2312" w:cs="仿宋_GB2312"/>
          <w:sz w:val="32"/>
          <w:szCs w:val="32"/>
          <w:lang w:eastAsia="zh-CN"/>
        </w:rPr>
        <w:t>运用科普手段助力“抗疫”一线</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强化</w:t>
      </w:r>
      <w:r>
        <w:rPr>
          <w:rFonts w:hint="eastAsia" w:ascii="仿宋_GB2312" w:hAnsi="仿宋_GB2312" w:eastAsia="仿宋_GB2312" w:cs="仿宋_GB2312"/>
          <w:b/>
          <w:bCs/>
          <w:sz w:val="32"/>
          <w:szCs w:val="32"/>
          <w:lang w:eastAsia="zh-CN"/>
        </w:rPr>
        <w:t>开展</w:t>
      </w:r>
      <w:r>
        <w:rPr>
          <w:rFonts w:hint="eastAsia" w:ascii="仿宋_GB2312" w:hAnsi="仿宋_GB2312" w:eastAsia="仿宋_GB2312" w:cs="仿宋_GB2312"/>
          <w:b/>
          <w:bCs/>
          <w:sz w:val="32"/>
          <w:szCs w:val="32"/>
        </w:rPr>
        <w:t>应急科普。</w:t>
      </w:r>
      <w:r>
        <w:rPr>
          <w:rFonts w:hint="eastAsia" w:ascii="仿宋_GB2312" w:eastAsia="仿宋_GB2312" w:cs="仿宋_GB2312"/>
          <w:sz w:val="32"/>
          <w:szCs w:val="32"/>
        </w:rPr>
        <w:t>制定并下发了《常德市科学技术协会关于开展新型冠状病毒感染的肺炎疫情应急科普工作的通知》；通过各类平台广泛传播市科协编写的《科学防护</w:t>
      </w:r>
      <w:r>
        <w:rPr>
          <w:rFonts w:hint="eastAsia" w:ascii="仿宋_GB2312" w:eastAsia="仿宋_GB2312" w:cs="仿宋_GB2312"/>
          <w:sz w:val="32"/>
          <w:szCs w:val="32"/>
          <w:lang w:eastAsia="zh-CN"/>
        </w:rPr>
        <w:t>、</w:t>
      </w:r>
      <w:r>
        <w:rPr>
          <w:rFonts w:hint="eastAsia" w:ascii="仿宋_GB2312" w:eastAsia="仿宋_GB2312" w:cs="仿宋_GB2312"/>
          <w:sz w:val="32"/>
          <w:szCs w:val="32"/>
        </w:rPr>
        <w:t>战“疫”必胜》科普手册；充分利用“科普常德”等微信平台，第一时间传播官方权威部门发布的相关信息，组织科普信息员开展科学传播，微信平台累计推送疫情科普信息</w:t>
      </w:r>
      <w:r>
        <w:rPr>
          <w:rFonts w:ascii="仿宋_GB2312" w:eastAsia="仿宋_GB2312" w:cs="仿宋_GB2312"/>
          <w:sz w:val="32"/>
          <w:szCs w:val="32"/>
        </w:rPr>
        <w:t>600</w:t>
      </w:r>
      <w:r>
        <w:rPr>
          <w:rFonts w:hint="eastAsia" w:ascii="仿宋_GB2312" w:eastAsia="仿宋_GB2312" w:cs="仿宋_GB2312"/>
          <w:sz w:val="32"/>
          <w:szCs w:val="32"/>
        </w:rPr>
        <w:t>多条，累计阅读量达</w:t>
      </w:r>
      <w:r>
        <w:rPr>
          <w:rFonts w:ascii="仿宋_GB2312" w:eastAsia="仿宋_GB2312" w:cs="仿宋_GB2312"/>
          <w:sz w:val="32"/>
          <w:szCs w:val="32"/>
        </w:rPr>
        <w:t>60</w:t>
      </w:r>
      <w:r>
        <w:rPr>
          <w:rFonts w:hint="eastAsia" w:ascii="仿宋_GB2312" w:eastAsia="仿宋_GB2312" w:cs="仿宋_GB2312"/>
          <w:sz w:val="32"/>
          <w:szCs w:val="32"/>
        </w:rPr>
        <w:t>万人次；举办</w:t>
      </w:r>
      <w:r>
        <w:rPr>
          <w:rFonts w:hint="eastAsia" w:ascii="仿宋_GB2312" w:cs="仿宋_GB2312"/>
          <w:sz w:val="32"/>
          <w:szCs w:val="32"/>
          <w:lang w:eastAsia="zh-CN"/>
        </w:rPr>
        <w:t>了</w:t>
      </w:r>
      <w:r>
        <w:rPr>
          <w:rFonts w:hint="eastAsia" w:ascii="仿宋_GB2312" w:eastAsia="仿宋_GB2312" w:cs="仿宋_GB2312"/>
          <w:sz w:val="32"/>
          <w:szCs w:val="32"/>
        </w:rPr>
        <w:t>为期</w:t>
      </w:r>
      <w:r>
        <w:rPr>
          <w:rFonts w:ascii="仿宋_GB2312" w:eastAsia="仿宋_GB2312" w:cs="仿宋_GB2312"/>
          <w:sz w:val="32"/>
          <w:szCs w:val="32"/>
        </w:rPr>
        <w:t>17</w:t>
      </w:r>
      <w:r>
        <w:rPr>
          <w:rFonts w:hint="eastAsia" w:ascii="仿宋_GB2312" w:eastAsia="仿宋_GB2312" w:cs="仿宋_GB2312"/>
          <w:sz w:val="32"/>
          <w:szCs w:val="32"/>
        </w:rPr>
        <w:t>天的“科学防疫</w:t>
      </w:r>
      <w:r>
        <w:rPr>
          <w:rFonts w:ascii="仿宋_GB2312" w:eastAsia="仿宋_GB2312" w:cs="仿宋_GB2312"/>
          <w:sz w:val="32"/>
          <w:szCs w:val="32"/>
        </w:rPr>
        <w:t xml:space="preserve"> </w:t>
      </w:r>
      <w:r>
        <w:rPr>
          <w:rFonts w:hint="eastAsia" w:ascii="仿宋_GB2312" w:eastAsia="仿宋_GB2312" w:cs="仿宋_GB2312"/>
          <w:sz w:val="32"/>
          <w:szCs w:val="32"/>
        </w:rPr>
        <w:t>全民参与”常德市网络科普知识有奖竞答活动，累计有</w:t>
      </w:r>
      <w:r>
        <w:rPr>
          <w:rFonts w:ascii="仿宋_GB2312" w:eastAsia="仿宋_GB2312" w:cs="仿宋_GB2312"/>
          <w:sz w:val="32"/>
          <w:szCs w:val="32"/>
        </w:rPr>
        <w:t>15</w:t>
      </w:r>
      <w:r>
        <w:rPr>
          <w:rFonts w:hint="eastAsia" w:ascii="仿宋_GB2312" w:eastAsia="仿宋_GB2312" w:cs="仿宋_GB2312"/>
          <w:sz w:val="32"/>
          <w:szCs w:val="32"/>
        </w:rPr>
        <w:t>万多人次参与答题，对于稳定市民情绪、增强科学应对意识、掌握科学知识起到了积极作用。</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sz w:val="32"/>
          <w:szCs w:val="32"/>
        </w:rPr>
      </w:pPr>
      <w:r>
        <w:rPr>
          <w:rFonts w:hint="eastAsia" w:ascii="仿宋_GB2312" w:hAnsi="仿宋_GB2312" w:eastAsia="仿宋_GB2312" w:cs="仿宋_GB2312"/>
          <w:b/>
          <w:bCs/>
          <w:sz w:val="32"/>
          <w:szCs w:val="32"/>
          <w:lang w:val="en-US" w:eastAsia="zh-CN"/>
        </w:rPr>
        <w:t>2.持续开展志愿服务。</w:t>
      </w:r>
      <w:r>
        <w:rPr>
          <w:rFonts w:hint="eastAsia" w:ascii="仿宋_GB2312" w:cs="仿宋_GB2312"/>
          <w:sz w:val="32"/>
          <w:szCs w:val="32"/>
          <w:lang w:eastAsia="zh-CN"/>
        </w:rPr>
        <w:t>在</w:t>
      </w:r>
      <w:r>
        <w:rPr>
          <w:rFonts w:hint="eastAsia" w:ascii="仿宋_GB2312" w:eastAsia="仿宋_GB2312" w:cs="仿宋_GB2312"/>
          <w:sz w:val="32"/>
          <w:szCs w:val="32"/>
        </w:rPr>
        <w:t>全国科技活动周</w:t>
      </w:r>
      <w:r>
        <w:rPr>
          <w:rFonts w:hint="eastAsia" w:ascii="仿宋_GB2312" w:cs="仿宋_GB2312"/>
          <w:sz w:val="32"/>
          <w:szCs w:val="32"/>
          <w:lang w:eastAsia="zh-CN"/>
        </w:rPr>
        <w:t>、</w:t>
      </w:r>
      <w:r>
        <w:rPr>
          <w:rFonts w:hint="eastAsia" w:ascii="仿宋_GB2312" w:eastAsia="仿宋_GB2312" w:cs="仿宋_GB2312"/>
          <w:sz w:val="32"/>
          <w:szCs w:val="32"/>
        </w:rPr>
        <w:t>全国科技工作者日</w:t>
      </w:r>
      <w:r>
        <w:rPr>
          <w:rFonts w:hint="eastAsia" w:ascii="仿宋_GB2312" w:cs="仿宋_GB2312"/>
          <w:sz w:val="32"/>
          <w:szCs w:val="32"/>
          <w:lang w:eastAsia="zh-CN"/>
        </w:rPr>
        <w:t>、平安</w:t>
      </w:r>
      <w:r>
        <w:rPr>
          <w:rFonts w:hint="eastAsia" w:ascii="仿宋_GB2312" w:cs="仿宋_GB2312"/>
          <w:sz w:val="32"/>
          <w:szCs w:val="32"/>
          <w:lang w:val="en-US" w:eastAsia="zh-CN"/>
        </w:rPr>
        <w:t>19活动等活动期间</w:t>
      </w:r>
      <w:r>
        <w:rPr>
          <w:rFonts w:hint="eastAsia" w:ascii="仿宋_GB2312" w:eastAsia="仿宋_GB2312" w:cs="仿宋_GB2312"/>
          <w:sz w:val="32"/>
          <w:szCs w:val="32"/>
        </w:rPr>
        <w:t>，市科协组织科普志愿者</w:t>
      </w:r>
      <w:r>
        <w:rPr>
          <w:rFonts w:hint="eastAsia" w:ascii="仿宋_GB2312" w:cs="仿宋_GB2312"/>
          <w:sz w:val="32"/>
          <w:szCs w:val="32"/>
          <w:lang w:eastAsia="zh-CN"/>
        </w:rPr>
        <w:t>深入社区、深入基层</w:t>
      </w:r>
      <w:r>
        <w:rPr>
          <w:rFonts w:hint="eastAsia" w:ascii="仿宋_GB2312" w:eastAsia="仿宋_GB2312" w:cs="仿宋_GB2312"/>
          <w:sz w:val="32"/>
          <w:szCs w:val="32"/>
        </w:rPr>
        <w:t>开展了以科技下乡和科普志愿者服务为主的系列科普宣传活动</w:t>
      </w:r>
      <w:r>
        <w:rPr>
          <w:rFonts w:hint="eastAsia" w:ascii="仿宋_GB2312" w:cs="仿宋_GB2312"/>
          <w:sz w:val="32"/>
          <w:szCs w:val="32"/>
          <w:lang w:eastAsia="zh-CN"/>
        </w:rPr>
        <w:t>，</w:t>
      </w:r>
      <w:r>
        <w:rPr>
          <w:rFonts w:hint="eastAsia" w:ascii="仿宋_GB2312" w:eastAsia="仿宋_GB2312" w:cs="仿宋_GB2312"/>
          <w:sz w:val="32"/>
          <w:szCs w:val="32"/>
        </w:rPr>
        <w:t>免费</w:t>
      </w:r>
      <w:r>
        <w:rPr>
          <w:rFonts w:hint="eastAsia" w:ascii="仿宋_GB2312" w:cs="仿宋_GB2312"/>
          <w:sz w:val="32"/>
          <w:szCs w:val="32"/>
          <w:lang w:eastAsia="zh-CN"/>
        </w:rPr>
        <w:t>为广大群众</w:t>
      </w:r>
      <w:r>
        <w:rPr>
          <w:rFonts w:hint="eastAsia" w:ascii="仿宋_GB2312" w:eastAsia="仿宋_GB2312" w:cs="仿宋_GB2312"/>
          <w:sz w:val="32"/>
          <w:szCs w:val="32"/>
        </w:rPr>
        <w:t>发放了乡村产业科技扶贫暨养殖种植操作指南、身边科学一点通和科普防疫手册</w:t>
      </w:r>
      <w:r>
        <w:rPr>
          <w:rFonts w:hint="eastAsia" w:ascii="仿宋_GB2312" w:cs="仿宋_GB2312"/>
          <w:sz w:val="32"/>
          <w:szCs w:val="32"/>
          <w:lang w:eastAsia="zh-CN"/>
        </w:rPr>
        <w:t>等图书</w:t>
      </w:r>
      <w:r>
        <w:rPr>
          <w:rFonts w:hint="eastAsia" w:ascii="仿宋_GB2312" w:eastAsia="仿宋_GB2312" w:cs="仿宋_GB2312"/>
          <w:sz w:val="32"/>
          <w:szCs w:val="32"/>
        </w:rPr>
        <w:t>，让科技志愿服务常态化规范化。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围绕中心大局，有序推动全民科学素质提升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1.抓好科普示范。</w:t>
      </w:r>
      <w:r>
        <w:rPr>
          <w:rFonts w:hint="eastAsia" w:ascii="仿宋_GB2312" w:eastAsia="仿宋_GB2312" w:cs="仿宋_GB2312"/>
          <w:sz w:val="32"/>
          <w:szCs w:val="32"/>
          <w:lang w:eastAsia="zh-CN"/>
        </w:rPr>
        <w:t>为</w:t>
      </w:r>
      <w:r>
        <w:rPr>
          <w:rFonts w:hint="eastAsia" w:ascii="仿宋_GB2312" w:eastAsia="仿宋_GB2312" w:cs="仿宋_GB2312"/>
          <w:sz w:val="32"/>
          <w:szCs w:val="32"/>
        </w:rPr>
        <w:t>减少疫</w:t>
      </w:r>
      <w:r>
        <w:rPr>
          <w:rFonts w:hint="eastAsia" w:ascii="仿宋_GB2312" w:eastAsia="仿宋_GB2312" w:cs="仿宋_GB2312"/>
          <w:sz w:val="32"/>
          <w:szCs w:val="32"/>
          <w:lang w:eastAsia="zh-CN"/>
        </w:rPr>
        <w:t>情</w:t>
      </w:r>
      <w:r>
        <w:rPr>
          <w:rFonts w:hint="eastAsia" w:ascii="仿宋_GB2312" w:eastAsia="仿宋_GB2312" w:cs="仿宋_GB2312"/>
          <w:sz w:val="32"/>
          <w:szCs w:val="32"/>
        </w:rPr>
        <w:t>影响，进一步鼓励基层一线科普组织积极性，经基层单位和个人申报，</w:t>
      </w:r>
      <w:r>
        <w:rPr>
          <w:rFonts w:hint="eastAsia" w:ascii="仿宋_GB2312" w:eastAsia="仿宋_GB2312" w:cs="仿宋_GB2312"/>
          <w:sz w:val="32"/>
          <w:szCs w:val="32"/>
          <w:lang w:eastAsia="zh-CN"/>
        </w:rPr>
        <w:t>市科协、市财政考察认定，</w:t>
      </w:r>
      <w:r>
        <w:rPr>
          <w:rFonts w:hint="eastAsia" w:ascii="仿宋_GB2312" w:eastAsia="仿宋_GB2312" w:cs="仿宋_GB2312"/>
          <w:sz w:val="32"/>
          <w:szCs w:val="32"/>
        </w:rPr>
        <w:t>全市</w:t>
      </w:r>
      <w:r>
        <w:rPr>
          <w:rFonts w:hint="eastAsia" w:ascii="仿宋_GB2312" w:eastAsia="仿宋_GB2312" w:cs="仿宋_GB2312"/>
          <w:sz w:val="32"/>
          <w:szCs w:val="32"/>
          <w:lang w:eastAsia="zh-CN"/>
        </w:rPr>
        <w:t>共有</w:t>
      </w:r>
      <w:r>
        <w:rPr>
          <w:rFonts w:hint="eastAsia" w:ascii="仿宋_GB2312" w:eastAsia="仿宋_GB2312" w:cs="仿宋_GB2312"/>
          <w:sz w:val="32"/>
          <w:szCs w:val="32"/>
        </w:rPr>
        <w:t>8个农村专业技术协会或科普示范基地、</w:t>
      </w:r>
      <w:r>
        <w:rPr>
          <w:rFonts w:ascii="仿宋_GB2312" w:eastAsia="仿宋_GB2312" w:cs="仿宋_GB2312"/>
          <w:sz w:val="32"/>
          <w:szCs w:val="32"/>
        </w:rPr>
        <w:t>10</w:t>
      </w:r>
      <w:r>
        <w:rPr>
          <w:rFonts w:hint="eastAsia" w:ascii="仿宋_GB2312" w:eastAsia="仿宋_GB2312" w:cs="仿宋_GB2312"/>
          <w:sz w:val="32"/>
          <w:szCs w:val="32"/>
        </w:rPr>
        <w:t>名农村科普带头人和4所科技活动示范学校，</w:t>
      </w:r>
      <w:r>
        <w:rPr>
          <w:rFonts w:hint="eastAsia" w:ascii="仿宋_GB2312" w:eastAsia="仿宋_GB2312" w:cs="仿宋_GB2312"/>
          <w:sz w:val="32"/>
          <w:szCs w:val="32"/>
          <w:lang w:eastAsia="zh-CN"/>
        </w:rPr>
        <w:t>获项目奖补资金（设备）</w:t>
      </w:r>
      <w:r>
        <w:rPr>
          <w:rFonts w:hint="eastAsia" w:ascii="仿宋_GB2312" w:eastAsia="仿宋_GB2312" w:cs="仿宋_GB2312"/>
          <w:sz w:val="32"/>
          <w:szCs w:val="32"/>
          <w:lang w:val="en-US" w:eastAsia="zh-CN"/>
        </w:rPr>
        <w:t>40万元。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2.做好纲要收官。</w:t>
      </w:r>
      <w:r>
        <w:rPr>
          <w:rFonts w:hint="eastAsia" w:ascii="仿宋_GB2312" w:hAnsi="仿宋_GB2312" w:eastAsia="仿宋_GB2312" w:cs="仿宋_GB2312"/>
          <w:sz w:val="32"/>
          <w:szCs w:val="32"/>
          <w:lang w:val="en-US" w:eastAsia="zh-CN"/>
        </w:rPr>
        <w:t>8月顺利完成</w:t>
      </w:r>
      <w:r>
        <w:rPr>
          <w:rFonts w:hint="eastAsia" w:ascii="仿宋_GB2312" w:hAnsi="仿宋_GB2312" w:eastAsia="仿宋_GB2312" w:cs="仿宋_GB2312"/>
          <w:sz w:val="32"/>
          <w:szCs w:val="32"/>
          <w:lang w:eastAsia="zh-CN"/>
        </w:rPr>
        <w:t>省、国家测评小组对我市我市“十三五”科学素质纲要工作实施验收工作，省调研组对我市五年来的《纲要》实施工作给予充分肯定，认为工作有创新、有典型、有特色、有亮点、有实效。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3.深化教育重点。</w:t>
      </w:r>
      <w:r>
        <w:rPr>
          <w:rFonts w:hint="eastAsia" w:ascii="仿宋_GB2312" w:eastAsia="仿宋_GB2312" w:cs="仿宋_GB2312"/>
          <w:sz w:val="32"/>
          <w:szCs w:val="32"/>
          <w:lang w:val="en-US" w:eastAsia="zh-CN"/>
        </w:rPr>
        <w:t>继续围绕“四大”重点人群，特别是青少年科技教育持续发力。通过</w:t>
      </w:r>
      <w:r>
        <w:rPr>
          <w:rFonts w:hint="eastAsia" w:ascii="仿宋_GB2312" w:eastAsia="仿宋_GB2312" w:cs="仿宋_GB2312"/>
          <w:sz w:val="32"/>
          <w:szCs w:val="32"/>
        </w:rPr>
        <w:t>召开座谈会</w:t>
      </w:r>
      <w:r>
        <w:rPr>
          <w:rFonts w:hint="eastAsia" w:ascii="仿宋_GB2312" w:eastAsia="仿宋_GB2312" w:cs="仿宋_GB2312"/>
          <w:sz w:val="32"/>
          <w:szCs w:val="32"/>
          <w:lang w:eastAsia="zh-CN"/>
        </w:rPr>
        <w:t>、开展科普辅导员培训班</w:t>
      </w:r>
      <w:r>
        <w:rPr>
          <w:rFonts w:hint="eastAsia" w:ascii="仿宋_GB2312" w:eastAsia="仿宋_GB2312" w:cs="仿宋_GB2312"/>
          <w:sz w:val="32"/>
          <w:szCs w:val="32"/>
        </w:rPr>
        <w:t>等</w:t>
      </w:r>
      <w:r>
        <w:rPr>
          <w:rFonts w:hint="eastAsia" w:ascii="仿宋_GB2312" w:eastAsia="仿宋_GB2312" w:cs="仿宋_GB2312"/>
          <w:sz w:val="32"/>
          <w:szCs w:val="32"/>
          <w:lang w:eastAsia="zh-CN"/>
        </w:rPr>
        <w:t>形式</w:t>
      </w:r>
      <w:r>
        <w:rPr>
          <w:rFonts w:hint="eastAsia" w:ascii="仿宋_GB2312" w:eastAsia="仿宋_GB2312" w:cs="仿宋_GB2312"/>
          <w:sz w:val="32"/>
          <w:szCs w:val="32"/>
        </w:rPr>
        <w:t>，组织骨干教师开展交流研讨、技术培训，培养集聚青少年科技创新专家团队</w:t>
      </w:r>
      <w:r>
        <w:rPr>
          <w:rFonts w:hint="eastAsia" w:ascii="仿宋_GB2312" w:eastAsia="仿宋_GB2312" w:cs="仿宋_GB2312"/>
          <w:sz w:val="32"/>
          <w:szCs w:val="32"/>
          <w:lang w:eastAsia="zh-CN"/>
        </w:rPr>
        <w:t>，</w:t>
      </w:r>
      <w:r>
        <w:rPr>
          <w:rFonts w:hint="eastAsia" w:ascii="仿宋_GB2312" w:eastAsia="仿宋_GB2312" w:cs="仿宋_GB2312"/>
          <w:sz w:val="32"/>
          <w:szCs w:val="32"/>
        </w:rPr>
        <w:t>加强骨干科技创新教师团队建设</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rPr>
        <w:t>积极对接相关学校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做好了生物、化学、物理和数学四门学科奥赛的网上申报工作，实现了工作零失误。联合市教育局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首次组织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市青少年创意编程和智能设计大赛。</w:t>
      </w:r>
      <w:r>
        <w:rPr>
          <w:rFonts w:hint="eastAsia" w:ascii="仿宋_GB2312" w:hAnsi="仿宋_GB2312" w:eastAsia="仿宋_GB2312" w:cs="仿宋_GB2312"/>
          <w:sz w:val="32"/>
          <w:szCs w:val="32"/>
          <w:lang w:eastAsia="zh-CN"/>
        </w:rPr>
        <w:t>在</w:t>
      </w:r>
      <w:r>
        <w:rPr>
          <w:rFonts w:hint="eastAsia" w:ascii="仿宋_GB2312" w:hAnsi="宋体" w:eastAsia="仿宋_GB2312" w:cs="仿宋_GB2312"/>
          <w:kern w:val="0"/>
          <w:sz w:val="32"/>
          <w:szCs w:val="32"/>
        </w:rPr>
        <w:t>第41届湖南省青少年科技创新大赛</w:t>
      </w:r>
      <w:r>
        <w:rPr>
          <w:rFonts w:hint="eastAsia" w:ascii="仿宋_GB2312" w:hAnsi="宋体" w:eastAsia="仿宋_GB2312" w:cs="仿宋_GB2312"/>
          <w:kern w:val="0"/>
          <w:sz w:val="32"/>
          <w:szCs w:val="32"/>
          <w:lang w:eastAsia="zh-CN"/>
        </w:rPr>
        <w:t>中</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我市</w:t>
      </w:r>
      <w:r>
        <w:rPr>
          <w:rFonts w:hint="eastAsia" w:ascii="仿宋_GB2312" w:eastAsia="仿宋_GB2312" w:cs="仿宋_GB2312"/>
          <w:sz w:val="32"/>
          <w:szCs w:val="32"/>
        </w:rPr>
        <w:t>获得</w:t>
      </w:r>
      <w:r>
        <w:rPr>
          <w:rFonts w:hint="eastAsia" w:ascii="仿宋_GB2312" w:eastAsia="仿宋_GB2312" w:cs="仿宋_GB2312"/>
          <w:sz w:val="32"/>
          <w:szCs w:val="32"/>
          <w:lang w:eastAsia="zh-CN"/>
        </w:rPr>
        <w:t>三等奖以上奖项</w:t>
      </w:r>
      <w:r>
        <w:rPr>
          <w:rFonts w:hint="eastAsia" w:ascii="仿宋_GB2312" w:eastAsia="仿宋_GB2312" w:cs="仿宋_GB2312"/>
          <w:sz w:val="32"/>
          <w:szCs w:val="32"/>
          <w:lang w:val="en-US" w:eastAsia="zh-CN"/>
        </w:rPr>
        <w:t>45项。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抓实党建覆盖，不断增强学会内生动能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SA"/>
        </w:rPr>
        <w:t>1.深化党建覆盖。</w:t>
      </w:r>
      <w:r>
        <w:rPr>
          <w:rFonts w:hint="eastAsia" w:ascii="仿宋_GB2312" w:hAnsi="仿宋_GB2312" w:eastAsia="仿宋_GB2312" w:cs="仿宋_GB2312"/>
          <w:b w:val="0"/>
          <w:bCs/>
          <w:color w:val="000000"/>
          <w:spacing w:val="0"/>
          <w:sz w:val="32"/>
          <w:szCs w:val="32"/>
        </w:rPr>
        <w:t>在开展</w:t>
      </w:r>
      <w:r>
        <w:rPr>
          <w:rFonts w:hint="eastAsia" w:ascii="仿宋_GB2312" w:hAnsi="仿宋_GB2312" w:eastAsia="仿宋_GB2312" w:cs="仿宋_GB2312"/>
          <w:b w:val="0"/>
          <w:bCs/>
          <w:color w:val="000000"/>
          <w:spacing w:val="0"/>
          <w:sz w:val="32"/>
          <w:szCs w:val="32"/>
          <w:lang w:eastAsia="zh-CN"/>
        </w:rPr>
        <w:t>学会业务工作的同时，更注重抓好</w:t>
      </w:r>
      <w:r>
        <w:rPr>
          <w:rFonts w:hint="eastAsia" w:ascii="仿宋_GB2312" w:hAnsi="仿宋_GB2312" w:eastAsia="仿宋_GB2312" w:cs="仿宋_GB2312"/>
          <w:b w:val="0"/>
          <w:bCs/>
          <w:color w:val="000000"/>
          <w:spacing w:val="0"/>
          <w:sz w:val="32"/>
          <w:szCs w:val="32"/>
        </w:rPr>
        <w:t>党</w:t>
      </w:r>
      <w:r>
        <w:rPr>
          <w:rFonts w:hint="eastAsia" w:ascii="仿宋_GB2312" w:hAnsi="仿宋_GB2312" w:eastAsia="仿宋_GB2312" w:cs="仿宋_GB2312"/>
          <w:b w:val="0"/>
          <w:bCs/>
          <w:color w:val="000000"/>
          <w:spacing w:val="0"/>
          <w:sz w:val="32"/>
          <w:szCs w:val="32"/>
          <w:lang w:eastAsia="zh-CN"/>
        </w:rPr>
        <w:t>的</w:t>
      </w:r>
      <w:r>
        <w:rPr>
          <w:rFonts w:hint="eastAsia" w:ascii="仿宋_GB2312" w:hAnsi="仿宋_GB2312" w:eastAsia="仿宋_GB2312" w:cs="仿宋_GB2312"/>
          <w:b w:val="0"/>
          <w:bCs/>
          <w:color w:val="000000"/>
          <w:spacing w:val="0"/>
          <w:sz w:val="32"/>
          <w:szCs w:val="32"/>
        </w:rPr>
        <w:t>工作，</w:t>
      </w:r>
      <w:r>
        <w:rPr>
          <w:rFonts w:hint="eastAsia" w:ascii="仿宋_GB2312" w:hAnsi="仿宋_GB2312" w:eastAsia="仿宋_GB2312" w:cs="仿宋_GB2312"/>
          <w:b w:val="0"/>
          <w:bCs/>
          <w:color w:val="000000"/>
          <w:spacing w:val="0"/>
          <w:sz w:val="32"/>
          <w:szCs w:val="32"/>
          <w:lang w:eastAsia="zh-CN"/>
        </w:rPr>
        <w:t>做到两不误两促进，确保实现</w:t>
      </w:r>
      <w:r>
        <w:rPr>
          <w:rFonts w:hint="eastAsia" w:ascii="仿宋_GB2312" w:hAnsi="仿宋_GB2312" w:eastAsia="仿宋_GB2312" w:cs="仿宋_GB2312"/>
          <w:b w:val="0"/>
          <w:bCs/>
          <w:color w:val="000000"/>
          <w:spacing w:val="0"/>
          <w:sz w:val="32"/>
          <w:szCs w:val="32"/>
        </w:rPr>
        <w:t>“三个纳入”</w:t>
      </w:r>
      <w:r>
        <w:rPr>
          <w:rFonts w:hint="eastAsia" w:ascii="仿宋_GB2312" w:hAnsi="仿宋_GB2312" w:eastAsia="仿宋_GB2312" w:cs="仿宋_GB2312"/>
          <w:b w:val="0"/>
          <w:bCs/>
          <w:color w:val="000000"/>
          <w:spacing w:val="0"/>
          <w:sz w:val="32"/>
          <w:szCs w:val="32"/>
          <w:lang w:eastAsia="zh-CN"/>
        </w:rPr>
        <w:t>。</w:t>
      </w:r>
      <w:r>
        <w:rPr>
          <w:rFonts w:hint="eastAsia" w:ascii="仿宋_GB2312" w:hAnsi="仿宋_GB2312" w:eastAsia="仿宋_GB2312" w:cs="仿宋_GB2312"/>
          <w:spacing w:val="-2"/>
          <w:sz w:val="32"/>
          <w:szCs w:val="32"/>
        </w:rPr>
        <w:t>按照“五化”标准</w:t>
      </w:r>
      <w:r>
        <w:rPr>
          <w:rFonts w:hint="eastAsia" w:ascii="仿宋_GB2312" w:hAnsi="仿宋_GB2312" w:eastAsia="仿宋_GB2312" w:cs="仿宋_GB2312"/>
          <w:spacing w:val="-2"/>
          <w:sz w:val="32"/>
          <w:szCs w:val="32"/>
          <w:lang w:eastAsia="zh-CN"/>
        </w:rPr>
        <w:t>加强</w:t>
      </w:r>
      <w:r>
        <w:rPr>
          <w:rFonts w:hint="eastAsia" w:ascii="仿宋_GB2312" w:hAnsi="仿宋_GB2312" w:eastAsia="仿宋_GB2312" w:cs="仿宋_GB2312"/>
          <w:spacing w:val="-2"/>
          <w:sz w:val="32"/>
          <w:szCs w:val="32"/>
        </w:rPr>
        <w:t>学会支部建设</w:t>
      </w:r>
      <w:r>
        <w:rPr>
          <w:rFonts w:hint="eastAsia" w:ascii="仿宋_GB2312" w:hAnsi="仿宋_GB2312" w:eastAsia="仿宋_GB2312" w:cs="仿宋_GB2312"/>
          <w:spacing w:val="-2"/>
          <w:sz w:val="32"/>
          <w:szCs w:val="32"/>
          <w:lang w:eastAsia="zh-CN"/>
        </w:rPr>
        <w:t>，重点</w:t>
      </w:r>
      <w:r>
        <w:rPr>
          <w:rFonts w:hint="eastAsia" w:ascii="仿宋_GB2312" w:hAnsi="仿宋_GB2312" w:eastAsia="仿宋_GB2312" w:cs="仿宋_GB2312"/>
          <w:spacing w:val="-2"/>
          <w:sz w:val="32"/>
          <w:szCs w:val="32"/>
        </w:rPr>
        <w:t>做好市</w:t>
      </w:r>
      <w:r>
        <w:rPr>
          <w:rFonts w:hint="eastAsia" w:ascii="仿宋_GB2312" w:hAnsi="仿宋_GB2312" w:eastAsia="仿宋_GB2312" w:cs="仿宋_GB2312"/>
          <w:spacing w:val="-2"/>
          <w:sz w:val="32"/>
          <w:szCs w:val="32"/>
          <w:lang w:eastAsia="zh-CN"/>
        </w:rPr>
        <w:t>农</w:t>
      </w:r>
      <w:r>
        <w:rPr>
          <w:rFonts w:hint="eastAsia" w:ascii="仿宋_GB2312" w:hAnsi="仿宋_GB2312" w:eastAsia="仿宋_GB2312" w:cs="仿宋_GB2312"/>
          <w:spacing w:val="-2"/>
          <w:sz w:val="32"/>
          <w:szCs w:val="32"/>
        </w:rPr>
        <w:t>学会等</w:t>
      </w:r>
      <w:r>
        <w:rPr>
          <w:rFonts w:hint="eastAsia" w:ascii="仿宋_GB2312" w:hAnsi="仿宋_GB2312" w:eastAsia="仿宋_GB2312" w:cs="仿宋_GB2312"/>
          <w:spacing w:val="-2"/>
          <w:sz w:val="32"/>
          <w:szCs w:val="32"/>
          <w:lang w:val="en-US" w:eastAsia="zh-CN"/>
        </w:rPr>
        <w:t>8</w:t>
      </w:r>
      <w:r>
        <w:rPr>
          <w:rFonts w:hint="eastAsia" w:ascii="仿宋_GB2312" w:hAnsi="仿宋_GB2312" w:eastAsia="仿宋_GB2312" w:cs="仿宋_GB2312"/>
          <w:spacing w:val="-2"/>
          <w:sz w:val="32"/>
          <w:szCs w:val="32"/>
        </w:rPr>
        <w:t>个学会支部党建示范建设</w:t>
      </w:r>
      <w:r>
        <w:rPr>
          <w:rFonts w:hint="eastAsia" w:ascii="仿宋_GB2312" w:hAnsi="仿宋_GB2312" w:eastAsia="仿宋_GB2312" w:cs="仿宋_GB2312"/>
          <w:spacing w:val="-2"/>
          <w:sz w:val="32"/>
          <w:szCs w:val="32"/>
          <w:lang w:eastAsia="zh-CN"/>
        </w:rPr>
        <w:t>和标杆引领工作，</w:t>
      </w:r>
      <w:r>
        <w:rPr>
          <w:rFonts w:hint="eastAsia" w:ascii="仿宋_GB2312" w:hAnsi="仿宋_GB2312" w:eastAsia="仿宋_GB2312" w:cs="仿宋_GB2312"/>
          <w:sz w:val="32"/>
          <w:szCs w:val="32"/>
        </w:rPr>
        <w:t>带动系统社会组织党建工作整体水平的提升。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kern w:val="0"/>
          <w:sz w:val="32"/>
          <w:szCs w:val="32"/>
          <w:lang w:val="en-US" w:eastAsia="zh-CN" w:bidi="ar-SA"/>
        </w:rPr>
        <w:t>2.提升服务能力。</w:t>
      </w:r>
      <w:r>
        <w:rPr>
          <w:rFonts w:hint="eastAsia" w:ascii="仿宋_GB2312" w:hAnsi="仿宋_GB2312" w:eastAsia="仿宋_GB2312" w:cs="仿宋_GB2312"/>
          <w:b w:val="0"/>
          <w:bCs/>
          <w:color w:val="000000"/>
          <w:spacing w:val="0"/>
          <w:sz w:val="32"/>
          <w:szCs w:val="32"/>
          <w:lang w:val="en-US" w:eastAsia="zh-CN"/>
        </w:rPr>
        <w:t>为</w:t>
      </w:r>
      <w:r>
        <w:rPr>
          <w:rFonts w:hint="eastAsia" w:ascii="仿宋_GB2312" w:hAnsi="仿宋_GB2312" w:eastAsia="仿宋_GB2312" w:cs="仿宋_GB2312"/>
          <w:color w:val="000000"/>
          <w:sz w:val="32"/>
          <w:szCs w:val="32"/>
          <w:lang w:val="en-US" w:eastAsia="zh-CN"/>
        </w:rPr>
        <w:t>进一步调动和激发学会创新发展主动性、创造性，切实增强学会学术影响力、会员凝聚力、社会公信力、自主发展能力，市科协继续推进学会服务能力提升项目计划。经过自主申报、择优评选，有26个学会、高校科协共计获得36万元资金支持。内容涵盖</w:t>
      </w:r>
      <w:r>
        <w:rPr>
          <w:rFonts w:hint="eastAsia" w:ascii="仿宋_GB2312" w:hAnsi="仿宋_GB2312" w:eastAsia="仿宋_GB2312" w:cs="仿宋_GB2312"/>
          <w:color w:val="000000"/>
          <w:sz w:val="32"/>
          <w:szCs w:val="32"/>
          <w:lang w:eastAsia="zh-CN"/>
        </w:rPr>
        <w:t>党的建设、咨询建言、学术交流、科学普及、科技服务、人才托举等多个方面。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bCs/>
          <w:kern w:val="0"/>
          <w:sz w:val="32"/>
          <w:szCs w:val="32"/>
          <w:lang w:val="en-US" w:eastAsia="zh-CN" w:bidi="ar-SA"/>
        </w:rPr>
        <w:t>3</w:t>
      </w:r>
      <w:r>
        <w:rPr>
          <w:rFonts w:hint="eastAsia" w:ascii="仿宋_GB2312" w:hAnsi="仿宋_GB2312" w:eastAsia="仿宋_GB2312" w:cs="仿宋_GB2312"/>
          <w:b/>
          <w:bCs/>
          <w:kern w:val="0"/>
          <w:sz w:val="32"/>
          <w:szCs w:val="32"/>
          <w:lang w:val="en-US" w:eastAsia="zh-CN" w:bidi="ar-SA"/>
        </w:rPr>
        <w:t>.浓厚学术氛围。</w:t>
      </w:r>
      <w:r>
        <w:rPr>
          <w:rFonts w:hint="eastAsia" w:ascii="仿宋_GB2312" w:hAnsi="仿宋_GB2312" w:eastAsia="仿宋_GB2312" w:cs="仿宋_GB2312"/>
          <w:color w:val="000000"/>
          <w:sz w:val="32"/>
          <w:szCs w:val="32"/>
          <w:lang w:val="en-US" w:eastAsia="zh-CN"/>
        </w:rPr>
        <w:t>各学会、高校发挥自身学科优势，先后开展了</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u w:val="none"/>
        </w:rPr>
        <w:t>优质稻绿色生态种养</w:t>
      </w:r>
      <w:r>
        <w:rPr>
          <w:rFonts w:hint="eastAsia" w:ascii="仿宋_GB2312" w:hAnsi="仿宋_GB2312" w:eastAsia="仿宋_GB2312" w:cs="仿宋_GB2312"/>
          <w:color w:val="000000"/>
          <w:spacing w:val="6"/>
          <w:sz w:val="32"/>
          <w:szCs w:val="32"/>
          <w:u w:val="none"/>
          <w:lang w:eastAsia="zh-CN"/>
        </w:rPr>
        <w:t>”</w:t>
      </w:r>
      <w:r>
        <w:rPr>
          <w:rFonts w:hint="eastAsia" w:ascii="仿宋_GB2312" w:hAnsi="仿宋_GB2312" w:eastAsia="仿宋_GB2312" w:cs="仿宋_GB2312"/>
          <w:color w:val="000000"/>
          <w:spacing w:val="-11"/>
          <w:sz w:val="32"/>
          <w:szCs w:val="32"/>
          <w:u w:val="none"/>
        </w:rPr>
        <w:t>“三品工程推进高峰论坛”</w:t>
      </w:r>
      <w:r>
        <w:rPr>
          <w:rFonts w:hint="eastAsia" w:ascii="仿宋_GB2312" w:hAnsi="仿宋_GB2312" w:eastAsia="仿宋_GB2312" w:cs="仿宋_GB2312"/>
          <w:color w:val="000000"/>
          <w:spacing w:val="-11"/>
          <w:sz w:val="32"/>
          <w:szCs w:val="32"/>
          <w:u w:val="none"/>
          <w:lang w:eastAsia="zh-CN"/>
        </w:rPr>
        <w:t>“</w:t>
      </w:r>
      <w:r>
        <w:rPr>
          <w:rFonts w:hint="eastAsia" w:ascii="仿宋_GB2312" w:hAnsi="仿宋_GB2312" w:eastAsia="仿宋_GB2312" w:cs="仿宋_GB2312"/>
          <w:color w:val="000000"/>
          <w:sz w:val="32"/>
          <w:szCs w:val="32"/>
          <w:lang w:eastAsia="zh-CN"/>
        </w:rPr>
        <w:t>神经介入学术论坛”等学术交流活动。</w:t>
      </w:r>
      <w:r>
        <w:rPr>
          <w:rFonts w:hint="eastAsia" w:ascii="仿宋_GB2312" w:hAnsi="仿宋_GB2312" w:eastAsia="仿宋_GB2312" w:cs="仿宋_GB2312"/>
          <w:color w:val="000000"/>
          <w:spacing w:val="0"/>
          <w:sz w:val="32"/>
          <w:szCs w:val="32"/>
          <w:lang w:val="en-US" w:eastAsia="zh-CN"/>
        </w:rPr>
        <w:t>9月</w:t>
      </w:r>
      <w:r>
        <w:rPr>
          <w:rFonts w:hint="eastAsia" w:ascii="仿宋_GB2312" w:hAnsi="仿宋_GB2312" w:eastAsia="仿宋_GB2312" w:cs="仿宋_GB2312"/>
          <w:color w:val="000000"/>
          <w:spacing w:val="0"/>
          <w:sz w:val="32"/>
          <w:szCs w:val="32"/>
          <w:lang w:eastAsia="zh-CN"/>
        </w:rPr>
        <w:t>，以</w:t>
      </w:r>
      <w:r>
        <w:rPr>
          <w:rFonts w:hint="eastAsia" w:ascii="仿宋_GB2312" w:hAnsi="仿宋_GB2312" w:eastAsia="仿宋_GB2312" w:cs="仿宋_GB2312"/>
          <w:b w:val="0"/>
          <w:i w:val="0"/>
          <w:caps w:val="0"/>
          <w:color w:val="000000"/>
          <w:spacing w:val="0"/>
          <w:sz w:val="32"/>
          <w:szCs w:val="32"/>
          <w:shd w:val="clear" w:color="auto" w:fill="FFFFFF"/>
          <w:lang w:val="en-US" w:eastAsia="zh-CN"/>
        </w:rPr>
        <w:t>“常德品牌.中国品质”为主题，市科协</w:t>
      </w:r>
      <w:r>
        <w:rPr>
          <w:rFonts w:hint="eastAsia" w:ascii="仿宋_GB2312" w:hAnsi="仿宋_GB2312" w:eastAsia="仿宋_GB2312" w:cs="仿宋_GB2312"/>
          <w:color w:val="000000"/>
          <w:spacing w:val="0"/>
          <w:sz w:val="32"/>
          <w:szCs w:val="32"/>
        </w:rPr>
        <w:t>与</w:t>
      </w:r>
      <w:r>
        <w:rPr>
          <w:rFonts w:hint="eastAsia" w:ascii="仿宋_GB2312" w:hAnsi="仿宋_GB2312" w:eastAsia="仿宋_GB2312" w:cs="仿宋_GB2312"/>
          <w:color w:val="000000"/>
          <w:spacing w:val="0"/>
          <w:sz w:val="32"/>
          <w:szCs w:val="32"/>
          <w:lang w:eastAsia="zh-CN"/>
        </w:rPr>
        <w:t>湖南应用技术学院科协联合举办了</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“院士专家常德行暨乡村振兴背景下农业产业高峰论坛”；</w:t>
      </w:r>
      <w:r>
        <w:rPr>
          <w:rFonts w:hint="eastAsia" w:ascii="仿宋_GB2312" w:hAnsi="仿宋_GB2312" w:eastAsia="仿宋_GB2312" w:cs="仿宋_GB2312"/>
          <w:color w:val="000000"/>
          <w:spacing w:val="0"/>
          <w:sz w:val="32"/>
          <w:szCs w:val="32"/>
          <w:lang w:val="en-US" w:eastAsia="zh-CN"/>
        </w:rPr>
        <w:t>11月，市科协联合</w:t>
      </w:r>
      <w:r>
        <w:rPr>
          <w:rFonts w:hint="eastAsia" w:ascii="仿宋_GB2312" w:hAnsi="仿宋_GB2312" w:eastAsia="仿宋_GB2312" w:cs="仿宋_GB2312"/>
          <w:color w:val="000000"/>
          <w:spacing w:val="0"/>
          <w:sz w:val="32"/>
          <w:szCs w:val="32"/>
          <w:lang w:eastAsia="zh-CN"/>
        </w:rPr>
        <w:t>市经济作物学会，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以</w:t>
      </w:r>
      <w:r>
        <w:rPr>
          <w:rFonts w:hint="eastAsia" w:ascii="仿宋_GB2312" w:hAnsi="宋体" w:eastAsia="仿宋_GB2312" w:cs="宋体"/>
          <w:color w:val="000000"/>
          <w:kern w:val="0"/>
          <w:sz w:val="32"/>
          <w:szCs w:val="32"/>
        </w:rPr>
        <w:t>科技·融合，共</w:t>
      </w:r>
      <w:r>
        <w:rPr>
          <w:rFonts w:hint="eastAsia" w:ascii="仿宋_GB2312" w:hAnsi="宋体" w:eastAsia="仿宋_GB2312" w:cs="宋体"/>
          <w:color w:val="000000"/>
          <w:kern w:val="0"/>
          <w:sz w:val="32"/>
          <w:szCs w:val="32"/>
          <w:lang w:eastAsia="zh-CN"/>
        </w:rPr>
        <w:t>襄</w:t>
      </w:r>
      <w:r>
        <w:rPr>
          <w:rFonts w:hint="eastAsia" w:ascii="仿宋_GB2312" w:hAnsi="宋体" w:eastAsia="仿宋_GB2312" w:cs="宋体"/>
          <w:color w:val="000000"/>
          <w:kern w:val="0"/>
          <w:sz w:val="32"/>
          <w:szCs w:val="32"/>
        </w:rPr>
        <w:t>湖南红茶高质量发展</w:t>
      </w:r>
      <w:r>
        <w:rPr>
          <w:rFonts w:hint="eastAsia" w:ascii="仿宋_GB2312" w:hAnsi="宋体" w:eastAsia="仿宋_GB2312" w:cs="宋体"/>
          <w:color w:val="000000"/>
          <w:kern w:val="0"/>
          <w:sz w:val="32"/>
          <w:szCs w:val="32"/>
          <w:lang w:eastAsia="zh-CN"/>
        </w:rPr>
        <w:t>为主题，</w:t>
      </w:r>
      <w:r>
        <w:rPr>
          <w:rFonts w:hint="eastAsia" w:ascii="仿宋_GB2312" w:hAnsi="仿宋_GB2312" w:eastAsia="仿宋_GB2312" w:cs="仿宋_GB2312"/>
          <w:color w:val="000000"/>
          <w:spacing w:val="0"/>
          <w:sz w:val="32"/>
          <w:szCs w:val="32"/>
          <w:lang w:val="en-US" w:eastAsia="zh-CN"/>
        </w:rPr>
        <w:t>举办了</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“院士专家常德行暨</w:t>
      </w:r>
      <w:r>
        <w:rPr>
          <w:rFonts w:hint="eastAsia" w:ascii="仿宋" w:hAnsi="仿宋" w:eastAsia="仿宋"/>
          <w:color w:val="000000"/>
          <w:sz w:val="32"/>
          <w:szCs w:val="32"/>
        </w:rPr>
        <w:t>湖南红茶论坛</w:t>
      </w:r>
      <w:r>
        <w:rPr>
          <w:rFonts w:hint="eastAsia" w:ascii="仿宋" w:hAnsi="仿宋" w:eastAsia="仿宋"/>
          <w:color w:val="000000"/>
          <w:sz w:val="32"/>
          <w:szCs w:val="32"/>
          <w:lang w:eastAsia="zh-CN"/>
        </w:rPr>
        <w:t>”</w:t>
      </w:r>
      <w:r>
        <w:rPr>
          <w:rFonts w:hint="eastAsia" w:ascii="仿宋_GB2312" w:hAnsi="仿宋_GB2312" w:eastAsia="仿宋_GB2312" w:cs="仿宋_GB2312"/>
          <w:color w:val="000000"/>
          <w:spacing w:val="0"/>
          <w:sz w:val="32"/>
          <w:szCs w:val="32"/>
          <w:lang w:val="en-US" w:eastAsia="zh-CN"/>
        </w:rPr>
        <w:t>。多名院士、知名专家来常作主题学术报告，</w:t>
      </w:r>
      <w:r>
        <w:rPr>
          <w:rFonts w:hint="eastAsia" w:ascii="仿宋_GB2312" w:hAnsi="仿宋_GB2312" w:eastAsia="仿宋_GB2312" w:cs="仿宋_GB2312"/>
          <w:color w:val="000000"/>
          <w:spacing w:val="0"/>
          <w:sz w:val="32"/>
          <w:szCs w:val="32"/>
          <w:shd w:val="clear" w:color="auto" w:fill="FFFFFF"/>
        </w:rPr>
        <w:t>深入产业基地等提供技术指导服务,</w:t>
      </w:r>
      <w:r>
        <w:rPr>
          <w:rFonts w:hint="eastAsia" w:ascii="仿宋_GB2312" w:hAnsi="仿宋_GB2312" w:eastAsia="仿宋_GB2312" w:cs="仿宋_GB2312"/>
          <w:color w:val="000000"/>
          <w:spacing w:val="0"/>
          <w:sz w:val="32"/>
          <w:szCs w:val="32"/>
        </w:rPr>
        <w:t>为促进常德农业产业发展</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提质增效支招把脉</w:t>
      </w:r>
      <w:r>
        <w:rPr>
          <w:rFonts w:hint="eastAsia" w:ascii="仿宋_GB2312" w:hAnsi="仿宋_GB2312" w:eastAsia="仿宋_GB2312" w:cs="仿宋_GB2312"/>
          <w:color w:val="000000"/>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不断提质扩面，深入完善科普传播平台</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围绕基层科普信息传播拓展，市科协全面谋划、统筹推进，信息化建设取得成效显著。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做大增量。</w:t>
      </w:r>
      <w:r>
        <w:rPr>
          <w:rFonts w:hint="eastAsia" w:ascii="仿宋_GB2312" w:hAnsi="仿宋" w:eastAsia="仿宋_GB2312" w:cs="仿宋_GB2312"/>
          <w:sz w:val="32"/>
          <w:szCs w:val="32"/>
        </w:rPr>
        <w:t>市科协党组高度重视，充分</w:t>
      </w:r>
      <w:r>
        <w:rPr>
          <w:rFonts w:hint="eastAsia" w:ascii="仿宋_GB2312" w:hAnsi="仿宋" w:eastAsia="仿宋_GB2312" w:cs="仿宋_GB2312"/>
          <w:sz w:val="32"/>
          <w:szCs w:val="32"/>
          <w:lang w:eastAsia="zh-CN"/>
        </w:rPr>
        <w:t>发动多方</w:t>
      </w:r>
      <w:r>
        <w:rPr>
          <w:rFonts w:hint="eastAsia" w:ascii="仿宋_GB2312" w:hAnsi="仿宋" w:eastAsia="仿宋_GB2312" w:cs="仿宋_GB2312"/>
          <w:sz w:val="32"/>
          <w:szCs w:val="32"/>
        </w:rPr>
        <w:t>力量建设科普信息员队伍。通过市</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县</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乡</w:t>
      </w:r>
      <w:r>
        <w:rPr>
          <w:rFonts w:hint="eastAsia" w:ascii="仿宋_GB2312" w:hAnsi="仿宋" w:eastAsia="仿宋_GB2312" w:cs="仿宋_GB2312"/>
          <w:sz w:val="32"/>
          <w:szCs w:val="32"/>
          <w:lang w:eastAsia="zh-CN"/>
        </w:rPr>
        <w:t>、村</w:t>
      </w:r>
      <w:r>
        <w:rPr>
          <w:rFonts w:hint="eastAsia" w:ascii="仿宋_GB2312" w:hAnsi="仿宋" w:eastAsia="仿宋_GB2312" w:cs="仿宋_GB2312"/>
          <w:sz w:val="32"/>
          <w:szCs w:val="32"/>
        </w:rPr>
        <w:t>四级科协组织上下联动、不懈努力，机关各部室密切协作、横向协同，</w:t>
      </w:r>
      <w:r>
        <w:rPr>
          <w:rFonts w:hint="eastAsia" w:ascii="仿宋_GB2312" w:eastAsia="仿宋_GB2312" w:cs="仿宋_GB2312"/>
          <w:sz w:val="32"/>
          <w:szCs w:val="32"/>
        </w:rPr>
        <w:t>信息员队伍建设全方位发动、高质量推进</w:t>
      </w:r>
      <w:r>
        <w:rPr>
          <w:rFonts w:hint="eastAsia" w:ascii="仿宋_GB2312" w:hAnsi="仿宋" w:eastAsia="仿宋_GB2312" w:cs="仿宋_GB2312"/>
          <w:sz w:val="32"/>
          <w:szCs w:val="32"/>
        </w:rPr>
        <w:t>。截止目前，注册人数</w:t>
      </w:r>
      <w:r>
        <w:rPr>
          <w:rFonts w:hint="eastAsia" w:ascii="仿宋_GB2312" w:hAnsi="仿宋" w:eastAsia="仿宋_GB2312" w:cs="仿宋_GB2312"/>
          <w:sz w:val="32"/>
          <w:szCs w:val="32"/>
          <w:lang w:eastAsia="zh-CN"/>
        </w:rPr>
        <w:t>超过</w:t>
      </w:r>
      <w:r>
        <w:rPr>
          <w:rFonts w:hint="eastAsia" w:ascii="仿宋_GB2312" w:hAnsi="仿宋" w:eastAsia="仿宋_GB2312" w:cs="仿宋_GB2312"/>
          <w:sz w:val="32"/>
          <w:szCs w:val="32"/>
          <w:lang w:val="en-US" w:eastAsia="zh-CN"/>
        </w:rPr>
        <w:t>18万</w:t>
      </w:r>
      <w:r>
        <w:rPr>
          <w:rFonts w:hint="eastAsia" w:ascii="仿宋_GB2312" w:hAnsi="仿宋" w:eastAsia="仿宋_GB2312" w:cs="仿宋_GB2312"/>
          <w:sz w:val="32"/>
          <w:szCs w:val="32"/>
        </w:rPr>
        <w:t>人，注册比例</w:t>
      </w:r>
      <w:r>
        <w:rPr>
          <w:rFonts w:hint="eastAsia" w:ascii="仿宋_GB2312" w:hAnsi="仿宋" w:eastAsia="仿宋_GB2312" w:cs="仿宋_GB2312"/>
          <w:sz w:val="32"/>
          <w:szCs w:val="32"/>
          <w:lang w:eastAsia="zh-CN"/>
        </w:rPr>
        <w:t>达到</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（以</w:t>
      </w:r>
      <w:r>
        <w:rPr>
          <w:rFonts w:hint="eastAsia" w:ascii="仿宋_GB2312" w:hAnsi="仿宋" w:eastAsia="仿宋_GB2312" w:cs="仿宋_GB2312"/>
          <w:sz w:val="32"/>
          <w:szCs w:val="32"/>
          <w:lang w:val="en-US" w:eastAsia="zh-CN"/>
        </w:rPr>
        <w:t>604万人口计算</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，传播量</w:t>
      </w:r>
      <w:r>
        <w:rPr>
          <w:rFonts w:hint="eastAsia" w:ascii="仿宋_GB2312" w:hAnsi="仿宋" w:eastAsia="仿宋_GB2312" w:cs="仿宋_GB2312"/>
          <w:sz w:val="32"/>
          <w:szCs w:val="32"/>
          <w:lang w:eastAsia="zh-CN"/>
        </w:rPr>
        <w:t>近</w:t>
      </w:r>
      <w:r>
        <w:rPr>
          <w:rFonts w:hint="eastAsia" w:ascii="仿宋_GB2312" w:hAnsi="仿宋" w:eastAsia="仿宋_GB2312" w:cs="仿宋_GB2312"/>
          <w:sz w:val="32"/>
          <w:szCs w:val="32"/>
          <w:lang w:val="en-US" w:eastAsia="zh-CN"/>
        </w:rPr>
        <w:t>400</w:t>
      </w:r>
      <w:r>
        <w:rPr>
          <w:rFonts w:hint="eastAsia" w:ascii="仿宋_GB2312" w:hAnsi="仿宋" w:eastAsia="仿宋_GB2312" w:cs="仿宋_GB2312"/>
          <w:sz w:val="32"/>
          <w:szCs w:val="32"/>
        </w:rPr>
        <w:t>万人次</w:t>
      </w:r>
      <w:r>
        <w:rPr>
          <w:rFonts w:hint="eastAsia" w:ascii="仿宋_GB2312" w:hAnsi="仿宋" w:eastAsia="仿宋_GB2312" w:cs="仿宋_GB2312"/>
          <w:sz w:val="32"/>
          <w:szCs w:val="32"/>
          <w:lang w:eastAsia="zh-CN"/>
        </w:rPr>
        <w:t>。注册人数、传播量均稳居第一（占到全省的</w:t>
      </w:r>
      <w:r>
        <w:rPr>
          <w:rFonts w:hint="eastAsia" w:ascii="仿宋_GB2312" w:hAnsi="仿宋" w:eastAsia="仿宋_GB2312" w:cs="仿宋_GB2312"/>
          <w:sz w:val="32"/>
          <w:szCs w:val="32"/>
          <w:lang w:val="en-US" w:eastAsia="zh-CN"/>
        </w:rPr>
        <w:t>20%左右</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还有多个区县和个人排在全省注册和信息传播前列。</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2.丰富载体。</w:t>
      </w:r>
      <w:r>
        <w:rPr>
          <w:rFonts w:hint="eastAsia" w:ascii="仿宋_GB2312" w:hAnsi="仿宋" w:eastAsia="仿宋_GB2312" w:cs="仿宋_GB2312"/>
          <w:sz w:val="32"/>
          <w:szCs w:val="32"/>
        </w:rPr>
        <w:t>联合市农业农村局、市总工会、团市委、市妇联</w:t>
      </w:r>
      <w:r>
        <w:rPr>
          <w:rFonts w:hint="eastAsia" w:ascii="仿宋_GB2312" w:hAnsi="仿宋" w:eastAsia="仿宋_GB2312" w:cs="仿宋_GB2312"/>
          <w:sz w:val="32"/>
          <w:szCs w:val="32"/>
          <w:lang w:eastAsia="zh-CN"/>
        </w:rPr>
        <w:t>开展的</w:t>
      </w:r>
      <w:r>
        <w:rPr>
          <w:rFonts w:hint="eastAsia" w:ascii="仿宋_GB2312" w:hAnsi="仿宋" w:eastAsia="仿宋_GB2312" w:cs="仿宋_GB2312"/>
          <w:sz w:val="32"/>
          <w:szCs w:val="32"/>
        </w:rPr>
        <w:t>第三届全省科学素质大赛中，常德市参赛人数近9万人，参赛人次近152万，综合参赛成效暫时位列全省第三。常德市科协等4个市直单位获评市州优秀组织单位奖，鼎城区科协等</w:t>
      </w:r>
      <w:r>
        <w:rPr>
          <w:rFonts w:hint="eastAsia" w:ascii="仿宋_GB2312" w:hAnsi="仿宋" w:cs="仿宋_GB2312"/>
          <w:sz w:val="32"/>
          <w:szCs w:val="32"/>
          <w:lang w:val="en-US" w:eastAsia="zh-CN"/>
        </w:rPr>
        <w:t>4个</w:t>
      </w:r>
      <w:r>
        <w:rPr>
          <w:rFonts w:hint="eastAsia" w:ascii="仿宋_GB2312" w:hAnsi="仿宋" w:eastAsia="仿宋_GB2312" w:cs="仿宋_GB2312"/>
          <w:sz w:val="32"/>
          <w:szCs w:val="32"/>
        </w:rPr>
        <w:t>单位获得县市区优秀组织奖。</w:t>
      </w:r>
      <w:r>
        <w:rPr>
          <w:rFonts w:hint="eastAsia" w:ascii="仿宋_GB2312" w:eastAsia="仿宋_GB2312" w:cs="仿宋_GB2312"/>
          <w:sz w:val="32"/>
          <w:szCs w:val="32"/>
        </w:rPr>
        <w:t>9月22日，“决胜全面小康，践行科技为民”2020年全国科普日常德（武陵）主场活动在常德市武陵区第一小学举行</w:t>
      </w:r>
      <w:r>
        <w:rPr>
          <w:rFonts w:hint="eastAsia" w:ascii="仿宋_GB2312" w:eastAsia="仿宋_GB2312" w:cs="仿宋_GB2312"/>
          <w:sz w:val="32"/>
          <w:szCs w:val="32"/>
          <w:lang w:eastAsia="zh-CN"/>
        </w:rPr>
        <w:t>，</w:t>
      </w:r>
      <w:r>
        <w:rPr>
          <w:rFonts w:hint="eastAsia" w:ascii="仿宋_GB2312" w:eastAsia="仿宋_GB2312" w:cs="仿宋_GB2312"/>
          <w:sz w:val="32"/>
          <w:szCs w:val="32"/>
        </w:rPr>
        <w:t>副市长汤祚国</w:t>
      </w:r>
      <w:r>
        <w:rPr>
          <w:rFonts w:hint="eastAsia" w:ascii="仿宋_GB2312" w:eastAsia="仿宋_GB2312" w:cs="仿宋_GB2312"/>
          <w:sz w:val="32"/>
          <w:szCs w:val="32"/>
          <w:lang w:eastAsia="zh-CN"/>
        </w:rPr>
        <w:t>等领导出席。</w:t>
      </w:r>
      <w:r>
        <w:rPr>
          <w:rFonts w:hint="eastAsia" w:ascii="仿宋_GB2312" w:eastAsia="仿宋_GB2312" w:cs="仿宋_GB2312"/>
          <w:sz w:val="32"/>
          <w:szCs w:val="32"/>
        </w:rPr>
        <w:t>活动以“科普阅读”为主题，为武陵区一小</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eastAsia="zh-CN"/>
        </w:rPr>
        <w:t>5所学校</w:t>
      </w:r>
      <w:r>
        <w:rPr>
          <w:rFonts w:hint="eastAsia" w:ascii="仿宋_GB2312" w:eastAsia="仿宋_GB2312" w:cs="仿宋_GB2312"/>
          <w:sz w:val="32"/>
          <w:szCs w:val="32"/>
        </w:rPr>
        <w:t>捐赠科普图书</w:t>
      </w:r>
      <w:r>
        <w:rPr>
          <w:rFonts w:hint="eastAsia" w:ascii="仿宋_GB2312" w:eastAsia="仿宋_GB2312" w:cs="仿宋_GB2312"/>
          <w:sz w:val="32"/>
          <w:szCs w:val="32"/>
          <w:lang w:eastAsia="zh-CN"/>
        </w:rPr>
        <w:t>，</w:t>
      </w:r>
      <w:r>
        <w:rPr>
          <w:rFonts w:hint="eastAsia" w:ascii="仿宋_GB2312" w:eastAsia="仿宋_GB2312" w:cs="仿宋_GB2312"/>
          <w:sz w:val="32"/>
          <w:szCs w:val="32"/>
        </w:rPr>
        <w:t>还举行了精彩的科普表演秀，青少年科普知识竞赛、科普知识宣传展，吸</w:t>
      </w:r>
      <w:r>
        <w:rPr>
          <w:rFonts w:hint="eastAsia" w:ascii="仿宋_GB2312" w:eastAsia="仿宋_GB2312" w:cs="仿宋_GB2312"/>
          <w:color w:val="auto"/>
          <w:sz w:val="32"/>
          <w:szCs w:val="32"/>
        </w:rPr>
        <w:t>引了众多学生的踊跃参与。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（五）接受政治体检，提升自身服务水平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lang w:val="en-US" w:eastAsia="zh-CN"/>
        </w:rPr>
      </w:pPr>
      <w:r>
        <w:rPr>
          <w:rFonts w:hint="eastAsia" w:ascii="仿宋_GB2312" w:eastAsia="仿宋_GB2312" w:cs="Times New Roman"/>
          <w:color w:val="auto"/>
          <w:kern w:val="2"/>
          <w:sz w:val="32"/>
          <w:szCs w:val="32"/>
          <w:lang w:eastAsia="zh-CN"/>
        </w:rPr>
        <w:t>根据市委统一部署，我会在</w:t>
      </w:r>
      <w:r>
        <w:rPr>
          <w:rFonts w:hint="eastAsia" w:ascii="仿宋_GB2312" w:eastAsia="仿宋_GB2312" w:cs="Times New Roman"/>
          <w:color w:val="auto"/>
          <w:kern w:val="2"/>
          <w:sz w:val="32"/>
          <w:szCs w:val="32"/>
          <w:lang w:val="en-US" w:eastAsia="zh-CN"/>
        </w:rPr>
        <w:t>9-11月接受了市委第二巡察组的例行巡察。通过全面体检，不仅政治意识和党性观念得到增强，并以此为契机，工作短板进一步补齐，担当精神得到显著提升，实现了配合巡察与推动工作落地见效“两手抓，双促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rPr>
        <w:t>组织基础进一步筑牢。</w:t>
      </w:r>
      <w:r>
        <w:rPr>
          <w:rFonts w:hint="eastAsia" w:ascii="仿宋_GB2312" w:eastAsia="仿宋_GB2312" w:cs="Times New Roman"/>
          <w:color w:val="auto"/>
          <w:kern w:val="2"/>
          <w:sz w:val="32"/>
          <w:szCs w:val="32"/>
          <w:lang w:val="en-US" w:eastAsia="zh-CN"/>
        </w:rPr>
        <w:t>通过典型引路、办点示范，</w:t>
      </w:r>
      <w:r>
        <w:rPr>
          <w:rFonts w:hint="eastAsia" w:ascii="仿宋_GB2312" w:hAnsi="仿宋_GB2312" w:eastAsia="仿宋_GB2312" w:cs="仿宋_GB2312"/>
          <w:sz w:val="32"/>
          <w:szCs w:val="32"/>
          <w:lang w:val="en-US" w:eastAsia="zh-CN"/>
        </w:rPr>
        <w:t>按照“应建尽建”的原则，我市实现了9个区县（市）、六小区所辖乡镇（街道）、村（社区）、国家（省）级园区、高校科协组织全面覆盖；通过有力举措，推动农技协、企业科协，尤其是高新技术企业科协组织建设迈上新台阶。实现了组织建设无遗漏、无死角。9月，省科协党组书记、副主席刘小明一行来我市开展调研。在实地察看和听取相关汇报后，刘小明对我市科协组织党建带会建机制不断健全、深化改革取得的进展、着力围绕中心服务大局的能力、科普工作体系日趋完善等特点给予充分肯定。10月10日，长沙市科协党组书记、副主席李范坤一行专程来我会学习交流，并对我市基层科协组织建设、科普信息化工作给予高度评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Times New Roman"/>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服务水平进一步提升。</w:t>
      </w:r>
      <w:r>
        <w:rPr>
          <w:rFonts w:hint="eastAsia" w:ascii="仿宋_GB2312" w:eastAsia="仿宋_GB2312" w:cs="Times New Roman"/>
          <w:color w:val="auto"/>
          <w:kern w:val="2"/>
          <w:sz w:val="32"/>
          <w:szCs w:val="32"/>
          <w:lang w:val="en-US" w:eastAsia="zh-CN"/>
        </w:rPr>
        <w:t>以全国科技工作者日活动等为载体，密切同科技工作者的联系，引领广大科技工作者服务经济社会发展。5月15日，由市科协主办的“530 全国科技工作者日”活动启动式在安乡县三岔河镇南堤拐村举行。活动以乡村产业科技扶贫为主题，市科协组织了多名市科普讲师团特聘专家，开展种养殖培训。5月29日，常德市全国科技工作者日座谈会议召开。来自全市多条战线的先进科技、科协工作者代表共计80余人参加座谈。会上，多名优秀科技工作者代表，就自己在抗疫一线、复工复产等方面所做的工作、感人事迹发言。会议还对20名先进科技工作者进行了慰问表彰。6月11日，联合市第一中医院、市妇幼保健院，组织20多名优秀的医疗专家和医务工作者，前往扶贫点村，开展义诊和免费送药活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cs="Times New Roman"/>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自身建设进一步优化。</w:t>
      </w:r>
      <w:r>
        <w:rPr>
          <w:rFonts w:hint="eastAsia" w:ascii="仿宋_GB2312" w:eastAsia="仿宋_GB2312" w:cs="Times New Roman"/>
          <w:color w:val="auto"/>
          <w:kern w:val="2"/>
          <w:sz w:val="32"/>
          <w:szCs w:val="32"/>
          <w:lang w:val="en-US" w:eastAsia="zh-CN"/>
        </w:rPr>
        <w:t>根据统一部署，为4名同志晋升了职级。调整配备了科技馆领导班子，完成了科技馆二层骨干的选拔竞聘，进一步提升了队伍活力。根据巡察工作要求，进一步严肃工作纪律，实行上下班签到制度。进一步完善了《市科协“三重一大”工作决策制度》《市科协机关各部室、各直属单位向党组请示报告重大事项工作制度》。组织开展了我们的节日、市直机关运动会、市科协系统廉洁诗词诵读会等文体活动。扎实推进社会综合治理优秀单位、“让党中央放心、让人民群众满意”模范机关创建，顺利通过省级文明单位复查，承担省绩效考核工作全面完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存在的主要问题及原因分析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s="Times New Roman"/>
          <w:color w:val="auto"/>
          <w:kern w:val="2"/>
          <w:sz w:val="32"/>
          <w:szCs w:val="32"/>
          <w:lang w:val="en-US" w:eastAsia="zh-CN"/>
        </w:rPr>
      </w:pPr>
      <w:r>
        <w:rPr>
          <w:rFonts w:hint="eastAsia" w:ascii="仿宋_GB2312" w:cs="Times New Roman"/>
          <w:color w:val="auto"/>
          <w:kern w:val="2"/>
          <w:sz w:val="32"/>
          <w:szCs w:val="32"/>
          <w:lang w:val="en-US" w:eastAsia="zh-CN"/>
        </w:rPr>
        <w:t>整体绩效评价三级指标细化比较概况，</w:t>
      </w:r>
      <w:r>
        <w:rPr>
          <w:rFonts w:hint="eastAsia" w:ascii="仿宋_GB2312" w:eastAsia="仿宋_GB2312" w:cs="Times New Roman"/>
          <w:color w:val="auto"/>
          <w:kern w:val="2"/>
          <w:sz w:val="32"/>
          <w:szCs w:val="32"/>
          <w:lang w:val="en-US" w:eastAsia="zh-CN"/>
        </w:rPr>
        <w:t>进一步完善调优绩效评价的三级指标，使之与实际情况更加贴切。</w:t>
      </w:r>
    </w:p>
    <w:p>
      <w:pPr>
        <w:keepNext w:val="0"/>
        <w:keepLines w:val="0"/>
        <w:pageBreakBefore w:val="0"/>
        <w:kinsoku/>
        <w:overflowPunct/>
        <w:topLinePunct w:val="0"/>
        <w:autoSpaceDE/>
        <w:autoSpaceDN/>
        <w:bidi w:val="0"/>
        <w:spacing w:line="560" w:lineRule="exact"/>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59091"/>
    <w:multiLevelType w:val="singleLevel"/>
    <w:tmpl w:val="DA059091"/>
    <w:lvl w:ilvl="0" w:tentative="0">
      <w:start w:val="4"/>
      <w:numFmt w:val="chineseCounting"/>
      <w:suff w:val="nothing"/>
      <w:lvlText w:val="%1、"/>
      <w:lvlJc w:val="left"/>
      <w:rPr>
        <w:rFonts w:hint="eastAsia"/>
      </w:rPr>
    </w:lvl>
  </w:abstractNum>
  <w:abstractNum w:abstractNumId="1">
    <w:nsid w:val="1026957E"/>
    <w:multiLevelType w:val="singleLevel"/>
    <w:tmpl w:val="1026957E"/>
    <w:lvl w:ilvl="0" w:tentative="0">
      <w:start w:val="5"/>
      <w:numFmt w:val="chineseCounting"/>
      <w:suff w:val="nothing"/>
      <w:lvlText w:val="%1、"/>
      <w:lvlJc w:val="left"/>
      <w:rPr>
        <w:rFonts w:hint="eastAsia"/>
      </w:rPr>
    </w:lvl>
  </w:abstractNum>
  <w:abstractNum w:abstractNumId="2">
    <w:nsid w:val="31B94D42"/>
    <w:multiLevelType w:val="singleLevel"/>
    <w:tmpl w:val="31B94D42"/>
    <w:lvl w:ilvl="0" w:tentative="0">
      <w:start w:val="1"/>
      <w:numFmt w:val="chineseCounting"/>
      <w:suff w:val="nothing"/>
      <w:lvlText w:val="(%1）"/>
      <w:lvlJc w:val="left"/>
      <w:pPr>
        <w:ind w:left="800" w:leftChars="0" w:firstLine="0" w:firstLineChars="0"/>
      </w:pPr>
      <w:rPr>
        <w:rFonts w:hint="eastAsia"/>
      </w:rPr>
    </w:lvl>
  </w:abstractNum>
  <w:abstractNum w:abstractNumId="3">
    <w:nsid w:val="57397F61"/>
    <w:multiLevelType w:val="singleLevel"/>
    <w:tmpl w:val="57397F61"/>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F58D4"/>
    <w:rsid w:val="094F58D4"/>
    <w:rsid w:val="18DB62ED"/>
    <w:rsid w:val="19115256"/>
    <w:rsid w:val="19A90DF1"/>
    <w:rsid w:val="1C795896"/>
    <w:rsid w:val="24245269"/>
    <w:rsid w:val="271D7AC2"/>
    <w:rsid w:val="2A9D21D6"/>
    <w:rsid w:val="2B7F64EF"/>
    <w:rsid w:val="2C21431D"/>
    <w:rsid w:val="2D115876"/>
    <w:rsid w:val="33F03BFA"/>
    <w:rsid w:val="393470A6"/>
    <w:rsid w:val="3C550730"/>
    <w:rsid w:val="4F806786"/>
    <w:rsid w:val="4F982064"/>
    <w:rsid w:val="4FEB49E4"/>
    <w:rsid w:val="53CE2C18"/>
    <w:rsid w:val="5C747CB5"/>
    <w:rsid w:val="67F07F90"/>
    <w:rsid w:val="69367CFD"/>
    <w:rsid w:val="69BA567D"/>
    <w:rsid w:val="6FBA29C2"/>
    <w:rsid w:val="735A283F"/>
    <w:rsid w:val="75E6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2021-04-14T02:53:00Z</dcterms:created>
  <dc:creator>李英姿</dc:creator>
  <cp:lastModifiedBy>李英姿</cp:lastModifiedBy>
  <dcterms:modified xsi:type="dcterms:W3CDTF">2021-05-31T07:20:29Z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222A792DBF484867B177E84637C5883E</vt:lpwstr>
  </property>
</Properties>
</file>